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511947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530378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SAIZY</w:t>
      </w:r>
      <w:r w:rsidR="00B93AC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22</w:t>
      </w:r>
    </w:p>
    <w:p w:rsidR="00952493" w:rsidRPr="003B4E34" w:rsidRDefault="00530378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Shop Lot 7771</w:t>
      </w:r>
      <w:r w:rsidR="00B56443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183 Tingkat 1,</w:t>
      </w:r>
      <w:r w:rsidRPr="00530378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Al-Syakirin Commerce Square,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30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-09-2015</w:t>
      </w:r>
    </w:p>
    <w:p w:rsidR="00952493" w:rsidRPr="005A48DC" w:rsidRDefault="00530378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Sultan Iskandar, P.O Box 2204,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530378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bookmarkStart w:id="6" w:name="OLE_LINK9"/>
      <w:bookmarkStart w:id="7" w:name="OLE_LINK10"/>
      <w:r>
        <w:rPr>
          <w:rFonts w:asciiTheme="majorHAnsi" w:eastAsia="Times New Roman" w:hAnsiTheme="majorHAnsi" w:cs="Times New Roman"/>
          <w:color w:val="auto"/>
          <w:szCs w:val="22"/>
        </w:rPr>
        <w:t>97008 Bintulu, Sarawa</w:t>
      </w:r>
      <w:r w:rsidR="000D47D3">
        <w:rPr>
          <w:rFonts w:asciiTheme="majorHAnsi" w:eastAsia="Times New Roman" w:hAnsiTheme="majorHAnsi" w:cs="Times New Roman"/>
          <w:color w:val="auto"/>
          <w:szCs w:val="22"/>
        </w:rPr>
        <w:t>k</w:t>
      </w:r>
      <w:bookmarkStart w:id="8" w:name="_GoBack"/>
      <w:bookmarkEnd w:id="8"/>
      <w:r>
        <w:rPr>
          <w:rFonts w:asciiTheme="majorHAnsi" w:eastAsia="Times New Roman" w:hAnsiTheme="majorHAnsi" w:cs="Times New Roman"/>
          <w:color w:val="auto"/>
          <w:szCs w:val="22"/>
        </w:rPr>
        <w:t>.</w:t>
      </w:r>
      <w:bookmarkEnd w:id="6"/>
      <w:bookmarkEnd w:id="7"/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44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530378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086-336 753/017-855 6088  </w:t>
      </w:r>
      <w:r w:rsidR="00B56443">
        <w:rPr>
          <w:rFonts w:asciiTheme="majorHAnsi" w:eastAsia="Times New Roman" w:hAnsiTheme="majorHAnsi" w:cs="Times New Roman"/>
          <w:color w:val="auto"/>
          <w:szCs w:val="22"/>
        </w:rPr>
        <w:t xml:space="preserve">Fax : </w:t>
      </w:r>
      <w:r>
        <w:rPr>
          <w:rFonts w:asciiTheme="majorHAnsi" w:eastAsia="Times New Roman" w:hAnsiTheme="majorHAnsi" w:cs="Times New Roman"/>
          <w:color w:val="auto"/>
          <w:szCs w:val="22"/>
        </w:rPr>
        <w:t>086-317 426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30378">
        <w:rPr>
          <w:rFonts w:asciiTheme="majorHAnsi" w:eastAsia="Times New Roman" w:hAnsiTheme="majorHAnsi" w:cs="Times New Roman"/>
          <w:color w:val="auto"/>
          <w:szCs w:val="22"/>
        </w:rPr>
        <w:t>En. Faizal Osaha</w:t>
      </w:r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9" w:name="OLE_LINK5"/>
            <w:bookmarkStart w:id="10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9"/>
          <w:bookmarkEnd w:id="10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3A" w:rsidRDefault="006B733A" w:rsidP="0072108C">
      <w:pPr>
        <w:spacing w:line="240" w:lineRule="auto"/>
      </w:pPr>
      <w:r>
        <w:separator/>
      </w:r>
    </w:p>
  </w:endnote>
  <w:endnote w:type="continuationSeparator" w:id="0">
    <w:p w:rsidR="006B733A" w:rsidRDefault="006B733A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3A" w:rsidRDefault="006B733A" w:rsidP="0072108C">
      <w:pPr>
        <w:spacing w:line="240" w:lineRule="auto"/>
      </w:pPr>
      <w:r>
        <w:separator/>
      </w:r>
    </w:p>
  </w:footnote>
  <w:footnote w:type="continuationSeparator" w:id="0">
    <w:p w:rsidR="006B733A" w:rsidRDefault="006B733A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0D47D3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30378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B733A"/>
    <w:rsid w:val="006F216C"/>
    <w:rsid w:val="006F2680"/>
    <w:rsid w:val="006F4155"/>
    <w:rsid w:val="00714729"/>
    <w:rsid w:val="0072108C"/>
    <w:rsid w:val="00725AD5"/>
    <w:rsid w:val="00776535"/>
    <w:rsid w:val="00780A2D"/>
    <w:rsid w:val="007970C2"/>
    <w:rsid w:val="007A1900"/>
    <w:rsid w:val="007B45EA"/>
    <w:rsid w:val="00842A89"/>
    <w:rsid w:val="008675CF"/>
    <w:rsid w:val="00871FD1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03E8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443"/>
    <w:rsid w:val="00B56671"/>
    <w:rsid w:val="00B92FB1"/>
    <w:rsid w:val="00B93ACD"/>
    <w:rsid w:val="00BD2A87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006E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2015-05-07T09:16:00Z</cp:lastPrinted>
  <dcterms:created xsi:type="dcterms:W3CDTF">2015-09-30T03:54:00Z</dcterms:created>
  <dcterms:modified xsi:type="dcterms:W3CDTF">2015-09-30T03:58:00Z</dcterms:modified>
</cp:coreProperties>
</file>