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8B" w:rsidRPr="00B3158B" w:rsidRDefault="00B3158B" w:rsidP="00B3158B">
      <w:pPr>
        <w:shd w:val="clear" w:color="auto" w:fill="FEFAFB"/>
        <w:spacing w:after="0" w:line="240" w:lineRule="auto"/>
        <w:outlineLvl w:val="2"/>
        <w:rPr>
          <w:rFonts w:ascii="Georgia" w:eastAsia="Times New Roman" w:hAnsi="Georgia" w:cs="Times New Roman"/>
          <w:color w:val="C929D5"/>
          <w:sz w:val="33"/>
          <w:szCs w:val="33"/>
          <w:lang w:eastAsia="ms-MY"/>
        </w:rPr>
      </w:pPr>
      <w:r w:rsidRPr="00B3158B">
        <w:rPr>
          <w:rFonts w:ascii="Georgia" w:eastAsia="Times New Roman" w:hAnsi="Georgia" w:cs="Times New Roman"/>
          <w:color w:val="C929D5"/>
          <w:sz w:val="33"/>
          <w:szCs w:val="33"/>
          <w:lang w:eastAsia="ms-MY"/>
        </w:rPr>
        <w:t>PEMILIKAN TUNGGAL (ENTERPRISE)</w:t>
      </w:r>
    </w:p>
    <w:p w:rsidR="00B3158B" w:rsidRPr="00B3158B" w:rsidRDefault="00B3158B" w:rsidP="00B3158B">
      <w:pPr>
        <w:shd w:val="clear" w:color="auto" w:fill="FEFAFB"/>
        <w:spacing w:after="0" w:line="240" w:lineRule="auto"/>
        <w:jc w:val="center"/>
        <w:rPr>
          <w:rFonts w:ascii="Arial" w:eastAsia="Times New Roman" w:hAnsi="Arial" w:cs="Arial"/>
          <w:color w:val="333333"/>
          <w:sz w:val="20"/>
          <w:szCs w:val="20"/>
          <w:lang w:eastAsia="ms-MY"/>
        </w:rPr>
      </w:pPr>
      <w:r>
        <w:rPr>
          <w:rFonts w:ascii="Times" w:eastAsia="Times New Roman" w:hAnsi="Times" w:cs="Times"/>
          <w:noProof/>
          <w:color w:val="75177D"/>
          <w:sz w:val="20"/>
          <w:szCs w:val="20"/>
          <w:lang w:eastAsia="ms-MY"/>
        </w:rPr>
        <w:drawing>
          <wp:inline distT="0" distB="0" distL="0" distR="0">
            <wp:extent cx="3048000" cy="2028825"/>
            <wp:effectExtent l="0" t="0" r="0" b="9525"/>
            <wp:docPr id="1" name="Picture 1" descr="http://3.bp.blogspot.com/-TTuNq_aeonM/Uz4Mk7xRGUI/AAAAAAAADuU/dRDnGhdY3-g/s1600/2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TTuNq_aeonM/Uz4Mk7xRGUI/AAAAAAAADuU/dRDnGhdY3-g/s1600/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B3158B" w:rsidRPr="00B3158B" w:rsidRDefault="00B3158B" w:rsidP="00B3158B">
      <w:pPr>
        <w:shd w:val="clear" w:color="auto" w:fill="FEFAFB"/>
        <w:spacing w:after="240" w:line="240" w:lineRule="auto"/>
        <w:jc w:val="center"/>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br/>
      </w:r>
      <w:r w:rsidRPr="00B3158B">
        <w:rPr>
          <w:rFonts w:ascii="Times" w:eastAsia="Times New Roman" w:hAnsi="Times" w:cs="Times"/>
          <w:b/>
          <w:bCs/>
          <w:color w:val="333333"/>
          <w:sz w:val="20"/>
          <w:szCs w:val="20"/>
          <w:lang w:eastAsia="ms-MY"/>
        </w:rPr>
        <w:t>PENUBUHAN</w:t>
      </w:r>
    </w:p>
    <w:p w:rsidR="00B3158B" w:rsidRPr="00B3158B" w:rsidRDefault="00B3158B" w:rsidP="00B3158B">
      <w:pPr>
        <w:shd w:val="clear" w:color="auto" w:fill="FEFAFB"/>
        <w:spacing w:after="240" w:line="240" w:lineRule="auto"/>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Seksyen 4, Akta Pendaftaran Perniagaan 1956 mentafrifkan perniagaan tunggal sebagai perniagaan yang ditubuhkan, dipunyai, dibiayai dari segi kewangan dan pegurusannya dikendalikan oleh seorang individu sahaja. Ia lazimnya melibatkan perniagaan secara kecil-kecilan.</w:t>
      </w:r>
      <w:r w:rsidRPr="00B3158B">
        <w:rPr>
          <w:rFonts w:ascii="Arial" w:eastAsia="Times New Roman" w:hAnsi="Arial" w:cs="Arial"/>
          <w:color w:val="333333"/>
          <w:sz w:val="20"/>
          <w:szCs w:val="20"/>
          <w:lang w:eastAsia="ms-MY"/>
        </w:rPr>
        <w:br/>
      </w:r>
      <w:r w:rsidRPr="00B3158B">
        <w:rPr>
          <w:rFonts w:ascii="Times" w:eastAsia="Times New Roman" w:hAnsi="Times" w:cs="Times"/>
          <w:color w:val="333333"/>
          <w:sz w:val="20"/>
          <w:szCs w:val="20"/>
          <w:lang w:eastAsia="ms-MY"/>
        </w:rPr>
        <w:br/>
        <w:t>Jenis perniagaan ini selalunya dimiliki oleh orang perseorangan di mana segala urusan perniagaan bergantung kepadanya. Tanggungjawab pemilik tunggal adalah tidak terhad. Sekiranya perniagaan tersebut gagal dan diistiharkan bankrap, si pemiutang (creditors) boleh menyaman pemilik bagi menuntut hutang. Mereka yang mendapat arahan mahkamah boleh menuntut di atas harta persendirian pemilik tunggal, termasuk rumah, kereta dan sebagainya. Entiti perniagaan ini senang dan mudah ditubuhkan kerana kurangnya formaliti yang perlu dipatuhi.</w:t>
      </w:r>
      <w:r w:rsidRPr="00B3158B">
        <w:rPr>
          <w:rFonts w:ascii="Times" w:eastAsia="Times New Roman" w:hAnsi="Times" w:cs="Times"/>
          <w:color w:val="333333"/>
          <w:sz w:val="20"/>
          <w:szCs w:val="20"/>
          <w:lang w:eastAsia="ms-MY"/>
        </w:rPr>
        <w:br/>
      </w:r>
      <w:r w:rsidRPr="00B3158B">
        <w:rPr>
          <w:rFonts w:ascii="Times" w:eastAsia="Times New Roman" w:hAnsi="Times" w:cs="Times"/>
          <w:color w:val="333333"/>
          <w:sz w:val="20"/>
          <w:szCs w:val="20"/>
          <w:lang w:eastAsia="ms-MY"/>
        </w:rPr>
        <w:br/>
        <w:t>Walau bagaimanapun, perniagaan tunggal tidak dibenarkan menggunakan nama-nama yang ada kaitan dengan Kerajaan Pusat atau Kerajaan Tempatan. Contohnya: "Perniagaan Kerajaan Melaka". Ini bertujuan untuk mengelakkan salah tafsiran orang ramai yang berurusan dengan perniagaan itu. Perniagaan tunggal juga tidak boleh menggunakan nama-nama sensitif dan nama-nama yang bertentangan dengan moral. Contohnya: "Perniagaan Tipu &amp; Putar Alam Malaysia".</w:t>
      </w:r>
      <w:r w:rsidRPr="00B3158B">
        <w:rPr>
          <w:rFonts w:ascii="Arial" w:eastAsia="Times New Roman" w:hAnsi="Arial" w:cs="Arial"/>
          <w:color w:val="333333"/>
          <w:sz w:val="20"/>
          <w:szCs w:val="20"/>
          <w:lang w:eastAsia="ms-MY"/>
        </w:rPr>
        <w:br/>
      </w:r>
    </w:p>
    <w:p w:rsidR="00B3158B" w:rsidRPr="00B3158B" w:rsidRDefault="00B3158B" w:rsidP="00B3158B">
      <w:pPr>
        <w:shd w:val="clear" w:color="auto" w:fill="FEFAFB"/>
        <w:spacing w:after="0" w:line="240" w:lineRule="auto"/>
        <w:jc w:val="center"/>
        <w:rPr>
          <w:rFonts w:ascii="Arial" w:eastAsia="Times New Roman" w:hAnsi="Arial" w:cs="Arial"/>
          <w:color w:val="333333"/>
          <w:sz w:val="20"/>
          <w:szCs w:val="20"/>
          <w:lang w:eastAsia="ms-MY"/>
        </w:rPr>
      </w:pPr>
      <w:r w:rsidRPr="00B3158B">
        <w:rPr>
          <w:rFonts w:ascii="Times" w:eastAsia="Times New Roman" w:hAnsi="Times" w:cs="Times"/>
          <w:b/>
          <w:bCs/>
          <w:color w:val="333333"/>
          <w:sz w:val="20"/>
          <w:szCs w:val="20"/>
          <w:lang w:eastAsia="ms-MY"/>
        </w:rPr>
        <w:t>CIRI-CIRI PEMILIKAN TUNGGAL</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Pemilik tunggal atau persendirian.</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Dimiliki oleh seorang individu yang mempunyai tanggungjawab peribadi terhadap hutang (liabiliti tak terhad).</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Kebiasaan modal diperolehi daripada simpanan dan pinjaman rakan dan saudara-mara.</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Mudah ditubuhkan dan tidak melibatkan prosedur yang rumit.</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Menanggung liabiliti yang tidak terhad.</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Berhak mendapat kesemua keuntungan dan juga menanggung segala juga kerugian perniagaan.</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Cukai dikenakan dalam bentuk Perseorangan melalui Cukai Pendapatan (LHDN).</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000000"/>
          <w:sz w:val="20"/>
          <w:szCs w:val="20"/>
          <w:lang w:eastAsia="ms-MY"/>
        </w:rPr>
        <w:t>Jangka hayat perniagaan tunggal ini adalah terhad. Sekiranya pemilik perniagaan meninggal dunia maka perniagaan tersebut akan terbubar</w:t>
      </w:r>
      <w:r w:rsidRPr="00B3158B">
        <w:rPr>
          <w:rFonts w:ascii="Times" w:eastAsia="Times New Roman" w:hAnsi="Times" w:cs="Times"/>
          <w:color w:val="333333"/>
          <w:sz w:val="20"/>
          <w:szCs w:val="20"/>
          <w:lang w:eastAsia="ms-MY"/>
        </w:rPr>
        <w:t>.</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Merupakan perniagaan yang paling banyak diamalkan di Malaysia.</w:t>
      </w:r>
    </w:p>
    <w:p w:rsidR="00B3158B" w:rsidRPr="00B3158B" w:rsidRDefault="00B3158B" w:rsidP="00B3158B">
      <w:pPr>
        <w:numPr>
          <w:ilvl w:val="0"/>
          <w:numId w:val="1"/>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Contoh : Kedai Tom Yam Anie, Kedai Rucit Raya, Kedai Perabot Mas, Kedai Motor Abu dsb.</w:t>
      </w:r>
    </w:p>
    <w:p w:rsidR="00B3158B" w:rsidRPr="00B3158B" w:rsidRDefault="00B3158B" w:rsidP="00B3158B">
      <w:pPr>
        <w:shd w:val="clear" w:color="auto" w:fill="FEFAFB"/>
        <w:spacing w:after="0" w:line="240" w:lineRule="auto"/>
        <w:jc w:val="center"/>
        <w:rPr>
          <w:rFonts w:ascii="Arial" w:eastAsia="Times New Roman" w:hAnsi="Arial" w:cs="Arial"/>
          <w:color w:val="333333"/>
          <w:sz w:val="20"/>
          <w:szCs w:val="20"/>
          <w:lang w:eastAsia="ms-MY"/>
        </w:rPr>
      </w:pPr>
      <w:r w:rsidRPr="00B3158B">
        <w:rPr>
          <w:rFonts w:ascii="Times" w:eastAsia="Times New Roman" w:hAnsi="Times" w:cs="Times"/>
          <w:b/>
          <w:bCs/>
          <w:color w:val="333333"/>
          <w:sz w:val="20"/>
          <w:szCs w:val="20"/>
          <w:lang w:eastAsia="ms-MY"/>
        </w:rPr>
        <w:t>KELEBIHAN PEMILIKAN TUNGGAL</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Hak milik persendirian.</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Mudah ditubuhkan atau dibubarkan kerana tiada banyak prosedur yang perlu diikuti.</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Modal yang kecil bagi memulakan perniagaan.</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Keputusan perniagaan dibuat sendiri.</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Hak sepenuhnya ke atas segala keuntungan mahupun kerugian.</w:t>
      </w:r>
    </w:p>
    <w:p w:rsidR="00B3158B" w:rsidRPr="00B3158B" w:rsidRDefault="00B3158B" w:rsidP="00B3158B">
      <w:pPr>
        <w:numPr>
          <w:ilvl w:val="0"/>
          <w:numId w:val="2"/>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lastRenderedPageBreak/>
        <w:t>Akaun perniagaan tidak perlu diaudit.</w:t>
      </w:r>
    </w:p>
    <w:p w:rsidR="00B3158B" w:rsidRPr="00B3158B" w:rsidRDefault="00B3158B" w:rsidP="00B3158B">
      <w:pPr>
        <w:shd w:val="clear" w:color="auto" w:fill="FEFAFB"/>
        <w:spacing w:after="0" w:line="240" w:lineRule="auto"/>
        <w:jc w:val="center"/>
        <w:rPr>
          <w:rFonts w:ascii="Arial" w:eastAsia="Times New Roman" w:hAnsi="Arial" w:cs="Arial"/>
          <w:b/>
          <w:bCs/>
          <w:color w:val="333333"/>
          <w:sz w:val="20"/>
          <w:szCs w:val="20"/>
          <w:lang w:eastAsia="ms-MY"/>
        </w:rPr>
      </w:pPr>
      <w:r w:rsidRPr="00B3158B">
        <w:rPr>
          <w:rFonts w:ascii="Times" w:eastAsia="Times New Roman" w:hAnsi="Times" w:cs="Times"/>
          <w:b/>
          <w:bCs/>
          <w:color w:val="333333"/>
          <w:sz w:val="20"/>
          <w:szCs w:val="20"/>
          <w:lang w:eastAsia="ms-MY"/>
        </w:rPr>
        <w:t>KELEMAHAN PEMILIKAN TUNGGAL</w:t>
      </w:r>
    </w:p>
    <w:p w:rsidR="00B3158B" w:rsidRPr="00B3158B" w:rsidRDefault="00B3158B" w:rsidP="00B3158B">
      <w:pPr>
        <w:numPr>
          <w:ilvl w:val="0"/>
          <w:numId w:val="3"/>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Menanggung liabiliti tidak terhad.</w:t>
      </w:r>
    </w:p>
    <w:p w:rsidR="00B3158B" w:rsidRPr="00B3158B" w:rsidRDefault="00B3158B" w:rsidP="00B3158B">
      <w:pPr>
        <w:numPr>
          <w:ilvl w:val="0"/>
          <w:numId w:val="3"/>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Sukar mendapat bantuan modal yang besar.</w:t>
      </w:r>
    </w:p>
    <w:p w:rsidR="00B3158B" w:rsidRPr="00B3158B" w:rsidRDefault="00B3158B" w:rsidP="00B3158B">
      <w:pPr>
        <w:numPr>
          <w:ilvl w:val="0"/>
          <w:numId w:val="3"/>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Jangka hayat yang terhad iaitu bergantung kepada usia pemilik.</w:t>
      </w:r>
    </w:p>
    <w:p w:rsidR="00B3158B" w:rsidRPr="00B3158B" w:rsidRDefault="00B3158B" w:rsidP="00B3158B">
      <w:pPr>
        <w:numPr>
          <w:ilvl w:val="0"/>
          <w:numId w:val="3"/>
        </w:numPr>
        <w:shd w:val="clear" w:color="auto" w:fill="FEFAFB"/>
        <w:spacing w:after="60" w:line="240" w:lineRule="auto"/>
        <w:ind w:left="0" w:firstLine="0"/>
        <w:jc w:val="both"/>
        <w:rPr>
          <w:rFonts w:ascii="Arial" w:eastAsia="Times New Roman" w:hAnsi="Arial" w:cs="Arial"/>
          <w:color w:val="333333"/>
          <w:sz w:val="20"/>
          <w:szCs w:val="20"/>
          <w:lang w:eastAsia="ms-MY"/>
        </w:rPr>
      </w:pPr>
      <w:r w:rsidRPr="00B3158B">
        <w:rPr>
          <w:rFonts w:ascii="Times" w:eastAsia="Times New Roman" w:hAnsi="Times" w:cs="Times"/>
          <w:color w:val="333333"/>
          <w:sz w:val="20"/>
          <w:szCs w:val="20"/>
          <w:lang w:eastAsia="ms-MY"/>
        </w:rPr>
        <w:t>Kadar cukai agak tinggi berbanding dengan Cukai Syarikat Sdn. Bhd.</w:t>
      </w:r>
    </w:p>
    <w:p w:rsidR="0000228D" w:rsidRDefault="0000228D">
      <w:bookmarkStart w:id="0" w:name="_GoBack"/>
      <w:bookmarkEnd w:id="0"/>
    </w:p>
    <w:sectPr w:rsidR="00002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0CE3"/>
    <w:multiLevelType w:val="multilevel"/>
    <w:tmpl w:val="1C1E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A42C02"/>
    <w:multiLevelType w:val="multilevel"/>
    <w:tmpl w:val="1836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C2134B"/>
    <w:multiLevelType w:val="multilevel"/>
    <w:tmpl w:val="96E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8B"/>
    <w:rsid w:val="0000228D"/>
    <w:rsid w:val="00B3158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B"/>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158B"/>
    <w:rPr>
      <w:rFonts w:ascii="Times New Roman" w:eastAsia="Times New Roman" w:hAnsi="Times New Roman" w:cs="Times New Roman"/>
      <w:b/>
      <w:bCs/>
      <w:sz w:val="27"/>
      <w:szCs w:val="27"/>
      <w:lang w:eastAsia="ms-MY"/>
    </w:rPr>
  </w:style>
  <w:style w:type="paragraph" w:styleId="BalloonText">
    <w:name w:val="Balloon Text"/>
    <w:basedOn w:val="Normal"/>
    <w:link w:val="BalloonTextChar"/>
    <w:uiPriority w:val="99"/>
    <w:semiHidden/>
    <w:unhideWhenUsed/>
    <w:rsid w:val="00B31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B"/>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158B"/>
    <w:rPr>
      <w:rFonts w:ascii="Times New Roman" w:eastAsia="Times New Roman" w:hAnsi="Times New Roman" w:cs="Times New Roman"/>
      <w:b/>
      <w:bCs/>
      <w:sz w:val="27"/>
      <w:szCs w:val="27"/>
      <w:lang w:eastAsia="ms-MY"/>
    </w:rPr>
  </w:style>
  <w:style w:type="paragraph" w:styleId="BalloonText">
    <w:name w:val="Balloon Text"/>
    <w:basedOn w:val="Normal"/>
    <w:link w:val="BalloonTextChar"/>
    <w:uiPriority w:val="99"/>
    <w:semiHidden/>
    <w:unhideWhenUsed/>
    <w:rsid w:val="00B31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6338">
      <w:bodyDiv w:val="1"/>
      <w:marLeft w:val="0"/>
      <w:marRight w:val="0"/>
      <w:marTop w:val="0"/>
      <w:marBottom w:val="0"/>
      <w:divBdr>
        <w:top w:val="none" w:sz="0" w:space="0" w:color="auto"/>
        <w:left w:val="none" w:sz="0" w:space="0" w:color="auto"/>
        <w:bottom w:val="none" w:sz="0" w:space="0" w:color="auto"/>
        <w:right w:val="none" w:sz="0" w:space="0" w:color="auto"/>
      </w:divBdr>
      <w:divsChild>
        <w:div w:id="75085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3.bp.blogspot.com/-TTuNq_aeonM/Uz4Mk7xRGUI/AAAAAAAADuU/dRDnGhdY3-g/s1600/23.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FDFB-C976-4FA7-9379-911DEE98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2017-10-10T09:14:00Z</dcterms:created>
  <dcterms:modified xsi:type="dcterms:W3CDTF">2017-10-10T09:15:00Z</dcterms:modified>
</cp:coreProperties>
</file>