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FE" w:rsidRPr="009656FE" w:rsidRDefault="009656FE" w:rsidP="009656FE">
      <w:pPr>
        <w:pStyle w:val="ListParagraph"/>
        <w:numPr>
          <w:ilvl w:val="0"/>
          <w:numId w:val="1"/>
        </w:numPr>
        <w:spacing w:after="0" w:line="240" w:lineRule="auto"/>
        <w:rPr>
          <w:rFonts w:ascii="Arial" w:hAnsi="Arial" w:cs="Arial"/>
          <w:color w:val="000000"/>
          <w:sz w:val="24"/>
          <w:szCs w:val="24"/>
        </w:rPr>
      </w:pPr>
      <w:r w:rsidRPr="00020659">
        <w:rPr>
          <w:b/>
        </w:rPr>
        <w:t>Currency Conversion</w:t>
      </w:r>
    </w:p>
    <w:p w:rsidR="009656FE" w:rsidRPr="003E5E8F" w:rsidRDefault="009656FE" w:rsidP="009656FE">
      <w:pPr>
        <w:pStyle w:val="ListParagraph"/>
        <w:spacing w:after="0" w:line="240" w:lineRule="auto"/>
        <w:ind w:left="360"/>
        <w:rPr>
          <w:rFonts w:ascii="Arial" w:hAnsi="Arial" w:cs="Arial"/>
          <w:color w:val="000000"/>
          <w:sz w:val="24"/>
          <w:szCs w:val="24"/>
        </w:rPr>
      </w:pPr>
      <w:r>
        <w:rPr>
          <w:b/>
        </w:rPr>
        <w:tab/>
      </w:r>
      <w:r>
        <w:rPr>
          <w:b/>
        </w:rPr>
        <w:tab/>
      </w:r>
      <w:r>
        <w:rPr>
          <w:b/>
        </w:rPr>
        <w:tab/>
      </w:r>
      <w:r>
        <w:rPr>
          <w:b/>
        </w:rPr>
        <w:tab/>
      </w:r>
      <w:r>
        <w:rPr>
          <w:b/>
        </w:rPr>
        <w:tab/>
      </w:r>
      <w:r>
        <w:rPr>
          <w:b/>
        </w:rPr>
        <w:tab/>
      </w:r>
      <w:r>
        <w:rPr>
          <w:b/>
        </w:rPr>
        <w:tab/>
      </w:r>
      <w:r>
        <w:rPr>
          <w:b/>
        </w:rPr>
        <w:tab/>
      </w:r>
      <w:r>
        <w:rPr>
          <w:b/>
        </w:rPr>
        <w:tab/>
      </w:r>
    </w:p>
    <w:p w:rsidR="009656FE" w:rsidRPr="009656FE" w:rsidRDefault="009656FE" w:rsidP="009656FE">
      <w:pPr>
        <w:numPr>
          <w:ilvl w:val="0"/>
          <w:numId w:val="2"/>
        </w:numPr>
        <w:shd w:val="clear" w:color="auto" w:fill="FFFFFF"/>
        <w:spacing w:before="100" w:beforeAutospacing="1" w:after="100" w:afterAutospacing="1" w:line="300" w:lineRule="atLeast"/>
        <w:ind w:left="375"/>
        <w:rPr>
          <w:rFonts w:ascii="Arial" w:eastAsia="Times New Roman" w:hAnsi="Arial" w:cs="Arial"/>
          <w:color w:val="666666"/>
          <w:sz w:val="18"/>
          <w:szCs w:val="18"/>
          <w:lang w:val="en-MY" w:eastAsia="en-MY"/>
        </w:rPr>
      </w:pPr>
      <w:r w:rsidRPr="003C316C">
        <w:rPr>
          <w:rFonts w:cs="Arial"/>
          <w:color w:val="000000"/>
        </w:rPr>
        <w:t xml:space="preserve">The software should allow the capture of Malaysia Ringgit equivalent value of GST when the supplier’s tax invoice is denominated in a foreign currency (FCY) using the exchange rate indicated by the supplier. For companies not using Malaysia Ringgit (MYR) as its functional currency, the software should be capable of converting the value of supply and output tax into Malaysia Ringgit (MYR) currency based on prevailing exchange rate for GST reporting purposes. </w:t>
      </w:r>
    </w:p>
    <w:p w:rsidR="009656FE" w:rsidRPr="009656FE" w:rsidRDefault="009656FE" w:rsidP="009656FE">
      <w:pPr>
        <w:numPr>
          <w:ilvl w:val="0"/>
          <w:numId w:val="2"/>
        </w:numPr>
        <w:shd w:val="clear" w:color="auto" w:fill="FFFFFF"/>
        <w:spacing w:before="100" w:beforeAutospacing="1" w:after="100" w:afterAutospacing="1" w:line="300" w:lineRule="atLeast"/>
        <w:ind w:left="375"/>
        <w:rPr>
          <w:rFonts w:ascii="Arial" w:eastAsia="Times New Roman" w:hAnsi="Arial" w:cs="Arial"/>
          <w:color w:val="666666"/>
          <w:sz w:val="18"/>
          <w:szCs w:val="18"/>
          <w:lang w:val="en-MY" w:eastAsia="en-MY"/>
        </w:rPr>
      </w:pPr>
      <w:r w:rsidRPr="009656FE">
        <w:rPr>
          <w:rFonts w:ascii="Tahoma" w:eastAsia="Times New Roman" w:hAnsi="Tahoma" w:cs="Tahoma"/>
          <w:color w:val="666666"/>
          <w:sz w:val="24"/>
          <w:szCs w:val="24"/>
          <w:lang w:val="en-MY" w:eastAsia="en-MY"/>
        </w:rPr>
        <w:t>The amount payable before GST;</w:t>
      </w:r>
    </w:p>
    <w:p w:rsidR="009656FE" w:rsidRPr="009656FE" w:rsidRDefault="009656FE" w:rsidP="009656FE">
      <w:pPr>
        <w:numPr>
          <w:ilvl w:val="0"/>
          <w:numId w:val="2"/>
        </w:numPr>
        <w:shd w:val="clear" w:color="auto" w:fill="FFFFFF"/>
        <w:spacing w:before="100" w:beforeAutospacing="1" w:after="100" w:afterAutospacing="1" w:line="300" w:lineRule="atLeast"/>
        <w:ind w:left="375"/>
        <w:rPr>
          <w:rFonts w:ascii="Arial" w:eastAsia="Times New Roman" w:hAnsi="Arial" w:cs="Arial"/>
          <w:color w:val="666666"/>
          <w:sz w:val="18"/>
          <w:szCs w:val="18"/>
          <w:lang w:val="en-MY" w:eastAsia="en-MY"/>
        </w:rPr>
      </w:pPr>
      <w:r w:rsidRPr="009656FE">
        <w:rPr>
          <w:rFonts w:ascii="Tahoma" w:eastAsia="Times New Roman" w:hAnsi="Tahoma" w:cs="Tahoma"/>
          <w:color w:val="666666"/>
          <w:sz w:val="24"/>
          <w:szCs w:val="24"/>
          <w:lang w:val="en-MY" w:eastAsia="en-MY"/>
        </w:rPr>
        <w:t>The total GST chargeable;</w:t>
      </w:r>
    </w:p>
    <w:p w:rsidR="009656FE" w:rsidRPr="009656FE" w:rsidRDefault="009656FE" w:rsidP="009656FE">
      <w:pPr>
        <w:numPr>
          <w:ilvl w:val="0"/>
          <w:numId w:val="2"/>
        </w:numPr>
        <w:shd w:val="clear" w:color="auto" w:fill="FFFFFF"/>
        <w:spacing w:before="100" w:beforeAutospacing="1" w:after="100" w:afterAutospacing="1" w:line="300" w:lineRule="atLeast"/>
        <w:ind w:left="375"/>
        <w:rPr>
          <w:rFonts w:ascii="Arial" w:eastAsia="Times New Roman" w:hAnsi="Arial" w:cs="Arial"/>
          <w:color w:val="666666"/>
          <w:sz w:val="18"/>
          <w:szCs w:val="18"/>
          <w:lang w:val="en-MY" w:eastAsia="en-MY"/>
        </w:rPr>
      </w:pPr>
      <w:r w:rsidRPr="009656FE">
        <w:rPr>
          <w:rFonts w:ascii="Tahoma" w:eastAsia="Times New Roman" w:hAnsi="Tahoma" w:cs="Tahoma"/>
          <w:color w:val="666666"/>
          <w:sz w:val="24"/>
          <w:szCs w:val="24"/>
          <w:lang w:val="en-MY" w:eastAsia="en-MY"/>
        </w:rPr>
        <w:t>The total amount payable (including GST)</w:t>
      </w:r>
    </w:p>
    <w:p w:rsidR="009656FE" w:rsidRDefault="009656FE" w:rsidP="009656FE">
      <w:pPr>
        <w:autoSpaceDE w:val="0"/>
        <w:autoSpaceDN w:val="0"/>
        <w:adjustRightInd w:val="0"/>
        <w:spacing w:after="0" w:line="240" w:lineRule="auto"/>
        <w:jc w:val="both"/>
        <w:rPr>
          <w:rFonts w:cs="Arial"/>
          <w:color w:val="000000"/>
        </w:rPr>
      </w:pPr>
    </w:p>
    <w:p w:rsidR="009656FE" w:rsidRPr="003C316C" w:rsidRDefault="009656FE" w:rsidP="009656FE">
      <w:pPr>
        <w:autoSpaceDE w:val="0"/>
        <w:autoSpaceDN w:val="0"/>
        <w:adjustRightInd w:val="0"/>
        <w:spacing w:after="0" w:line="240" w:lineRule="auto"/>
        <w:jc w:val="both"/>
        <w:rPr>
          <w:rFonts w:cs="Arial"/>
          <w:color w:val="000000"/>
        </w:rPr>
      </w:pPr>
    </w:p>
    <w:p w:rsidR="009656FE" w:rsidRPr="003C316C" w:rsidRDefault="009656FE" w:rsidP="009656FE">
      <w:pPr>
        <w:autoSpaceDE w:val="0"/>
        <w:autoSpaceDN w:val="0"/>
        <w:adjustRightInd w:val="0"/>
        <w:spacing w:after="0" w:line="240" w:lineRule="auto"/>
        <w:jc w:val="both"/>
        <w:rPr>
          <w:rFonts w:cs="Arial"/>
          <w:color w:val="000000"/>
        </w:rPr>
      </w:pPr>
      <w:r w:rsidRPr="003C316C">
        <w:rPr>
          <w:rFonts w:cs="Arial"/>
          <w:color w:val="000000"/>
        </w:rPr>
        <w:t xml:space="preserve">Other than that, the accounting software should not convert the amount before GST and the GST amount from foreign currency to Malaysia Ringgit (MYR) equivalent using its own exchange rate for accounting purposes as the rate could be difference from the exchange rate adopted by the supplier. </w:t>
      </w:r>
    </w:p>
    <w:p w:rsidR="009656FE" w:rsidRPr="003E5E8F" w:rsidRDefault="009656FE" w:rsidP="009656FE">
      <w:pPr>
        <w:autoSpaceDE w:val="0"/>
        <w:autoSpaceDN w:val="0"/>
        <w:adjustRightInd w:val="0"/>
        <w:spacing w:after="0" w:line="240" w:lineRule="auto"/>
        <w:rPr>
          <w:rFonts w:ascii="Arial" w:hAnsi="Arial" w:cs="Arial"/>
          <w:color w:val="000000"/>
          <w:sz w:val="24"/>
          <w:szCs w:val="24"/>
        </w:rPr>
      </w:pPr>
    </w:p>
    <w:p w:rsidR="009656FE" w:rsidRPr="00020659" w:rsidRDefault="009656FE" w:rsidP="009656FE">
      <w:pPr>
        <w:autoSpaceDE w:val="0"/>
        <w:autoSpaceDN w:val="0"/>
        <w:adjustRightInd w:val="0"/>
        <w:spacing w:after="0" w:line="240" w:lineRule="auto"/>
        <w:jc w:val="both"/>
        <w:rPr>
          <w:rFonts w:cs="Arial"/>
          <w:color w:val="000000"/>
        </w:rPr>
      </w:pPr>
      <w:r w:rsidRPr="00802B46">
        <w:rPr>
          <w:rFonts w:cs="Arial"/>
          <w:color w:val="000000"/>
        </w:rPr>
        <w:t>For businesses transactions that use foreign currency (e.g., USD, SGD, Rp, AUD) as their functional currency, the accounting software must be capable of converting the value of supplies made and output tax charged to Malaysia Ringgit (MYR) based on the prevailing exchange rate for GST reporting purposes.</w:t>
      </w:r>
    </w:p>
    <w:p w:rsidR="008F26E2" w:rsidRDefault="008F26E2"/>
    <w:p w:rsidR="009656FE" w:rsidRPr="009656FE" w:rsidRDefault="009656FE" w:rsidP="009656FE">
      <w:pPr>
        <w:shd w:val="clear" w:color="auto" w:fill="FFFFFF"/>
        <w:spacing w:after="150" w:line="240" w:lineRule="auto"/>
        <w:rPr>
          <w:rFonts w:ascii="Arial" w:eastAsia="Times New Roman" w:hAnsi="Arial" w:cs="Arial"/>
          <w:color w:val="666666"/>
          <w:sz w:val="18"/>
          <w:szCs w:val="18"/>
          <w:lang w:val="en-MY" w:eastAsia="en-MY"/>
        </w:rPr>
      </w:pPr>
      <w:r w:rsidRPr="009656FE">
        <w:rPr>
          <w:rFonts w:ascii="Tahoma" w:eastAsia="Times New Roman" w:hAnsi="Tahoma" w:cs="Tahoma"/>
          <w:color w:val="666666"/>
          <w:sz w:val="24"/>
          <w:szCs w:val="24"/>
          <w:lang w:val="en-MY" w:eastAsia="en-MY"/>
        </w:rPr>
        <w:t>If the amount of the supply stated in a tax invoice is in foreign currency, the following particulars in the tax invoice have to be</w:t>
      </w:r>
      <w:r w:rsidRPr="009656FE">
        <w:rPr>
          <w:rFonts w:ascii="Tahoma" w:eastAsia="Times New Roman" w:hAnsi="Tahoma" w:cs="Tahoma"/>
          <w:color w:val="993300"/>
          <w:sz w:val="24"/>
          <w:szCs w:val="24"/>
          <w:lang w:val="en-MY" w:eastAsia="en-MY"/>
        </w:rPr>
        <w:t> converted into Ringgit</w:t>
      </w:r>
      <w:r w:rsidRPr="009656FE">
        <w:rPr>
          <w:rFonts w:ascii="Tahoma" w:eastAsia="Times New Roman" w:hAnsi="Tahoma" w:cs="Tahoma"/>
          <w:color w:val="666666"/>
          <w:sz w:val="24"/>
          <w:szCs w:val="24"/>
          <w:lang w:val="en-MY" w:eastAsia="en-MY"/>
        </w:rPr>
        <w:t> </w:t>
      </w:r>
      <w:proofErr w:type="gramStart"/>
      <w:r w:rsidRPr="009656FE">
        <w:rPr>
          <w:rFonts w:ascii="Tahoma" w:eastAsia="Times New Roman" w:hAnsi="Tahoma" w:cs="Tahoma"/>
          <w:color w:val="666666"/>
          <w:sz w:val="24"/>
          <w:szCs w:val="24"/>
          <w:lang w:val="en-MY" w:eastAsia="en-MY"/>
        </w:rPr>
        <w:t>Malaysia(</w:t>
      </w:r>
      <w:proofErr w:type="gramEnd"/>
      <w:r w:rsidRPr="009656FE">
        <w:rPr>
          <w:rFonts w:ascii="Tahoma" w:eastAsia="Times New Roman" w:hAnsi="Tahoma" w:cs="Tahoma"/>
          <w:color w:val="666666"/>
          <w:sz w:val="24"/>
          <w:szCs w:val="24"/>
          <w:lang w:val="en-MY" w:eastAsia="en-MY"/>
        </w:rPr>
        <w:t>RM) for GST purposes :</w:t>
      </w:r>
    </w:p>
    <w:p w:rsidR="009656FE" w:rsidRDefault="009656FE" w:rsidP="009656FE">
      <w:pPr>
        <w:shd w:val="clear" w:color="auto" w:fill="FFFFFF"/>
        <w:spacing w:after="150" w:line="240" w:lineRule="auto"/>
        <w:rPr>
          <w:rFonts w:ascii="Tahoma" w:eastAsia="Times New Roman" w:hAnsi="Tahoma" w:cs="Tahoma"/>
          <w:color w:val="666666"/>
          <w:sz w:val="24"/>
          <w:szCs w:val="24"/>
          <w:lang w:val="en-MY" w:eastAsia="en-MY"/>
        </w:rPr>
      </w:pPr>
      <w:r w:rsidRPr="009656FE">
        <w:rPr>
          <w:rFonts w:ascii="Tahoma" w:eastAsia="Times New Roman" w:hAnsi="Tahoma" w:cs="Tahoma"/>
          <w:color w:val="666666"/>
          <w:sz w:val="24"/>
          <w:szCs w:val="24"/>
          <w:lang w:val="en-MY" w:eastAsia="en-MY"/>
        </w:rPr>
        <w:t>The foreign currency is converted into RM by using the </w:t>
      </w:r>
      <w:r w:rsidRPr="009656FE">
        <w:rPr>
          <w:rFonts w:ascii="Tahoma" w:eastAsia="Times New Roman" w:hAnsi="Tahoma" w:cs="Tahoma"/>
          <w:color w:val="993300"/>
          <w:sz w:val="24"/>
          <w:szCs w:val="24"/>
          <w:lang w:val="en-MY" w:eastAsia="en-MY"/>
        </w:rPr>
        <w:t>selling rate</w:t>
      </w:r>
      <w:r w:rsidRPr="009656FE">
        <w:rPr>
          <w:rFonts w:ascii="Tahoma" w:eastAsia="Times New Roman" w:hAnsi="Tahoma" w:cs="Tahoma"/>
          <w:color w:val="666666"/>
          <w:sz w:val="24"/>
          <w:szCs w:val="24"/>
          <w:lang w:val="en-MY" w:eastAsia="en-MY"/>
        </w:rPr>
        <w:t xml:space="preserve"> of exchange </w:t>
      </w:r>
      <w:proofErr w:type="gramStart"/>
      <w:r w:rsidRPr="009656FE">
        <w:rPr>
          <w:rFonts w:ascii="Tahoma" w:eastAsia="Times New Roman" w:hAnsi="Tahoma" w:cs="Tahoma"/>
          <w:color w:val="666666"/>
          <w:sz w:val="24"/>
          <w:szCs w:val="24"/>
          <w:lang w:val="en-MY" w:eastAsia="en-MY"/>
        </w:rPr>
        <w:t>prevailing</w:t>
      </w:r>
      <w:proofErr w:type="gramEnd"/>
      <w:r w:rsidRPr="009656FE">
        <w:rPr>
          <w:rFonts w:ascii="Tahoma" w:eastAsia="Times New Roman" w:hAnsi="Tahoma" w:cs="Tahoma"/>
          <w:color w:val="666666"/>
          <w:sz w:val="24"/>
          <w:szCs w:val="24"/>
          <w:lang w:val="en-MY" w:eastAsia="en-MY"/>
        </w:rPr>
        <w:t xml:space="preserve"> in Malaysia at the time when the supply takes place.</w:t>
      </w:r>
    </w:p>
    <w:p w:rsidR="009656FE" w:rsidRDefault="009656FE" w:rsidP="009656FE">
      <w:pPr>
        <w:shd w:val="clear" w:color="auto" w:fill="FFFFFF"/>
        <w:spacing w:after="150" w:line="240" w:lineRule="auto"/>
        <w:rPr>
          <w:rFonts w:ascii="Tahoma" w:eastAsia="Times New Roman" w:hAnsi="Tahoma" w:cs="Tahoma"/>
          <w:color w:val="666666"/>
          <w:sz w:val="24"/>
          <w:szCs w:val="24"/>
          <w:lang w:val="en-MY" w:eastAsia="en-MY"/>
        </w:rPr>
      </w:pPr>
    </w:p>
    <w:p w:rsidR="009656FE" w:rsidRDefault="009656FE" w:rsidP="009656FE">
      <w:pPr>
        <w:shd w:val="clear" w:color="auto" w:fill="FFFFFF"/>
        <w:spacing w:after="150" w:line="240" w:lineRule="auto"/>
        <w:rPr>
          <w:rFonts w:ascii="Arial" w:eastAsia="Times New Roman" w:hAnsi="Arial" w:cs="Arial"/>
          <w:color w:val="666666"/>
          <w:sz w:val="18"/>
          <w:szCs w:val="18"/>
          <w:lang w:val="en-MY" w:eastAsia="en-MY"/>
        </w:rPr>
      </w:pPr>
      <w:r>
        <w:rPr>
          <w:rFonts w:ascii="Arial" w:eastAsia="Times New Roman" w:hAnsi="Arial" w:cs="Arial"/>
          <w:color w:val="666666"/>
          <w:sz w:val="18"/>
          <w:szCs w:val="18"/>
          <w:lang w:val="en-MY" w:eastAsia="en-MY"/>
        </w:rPr>
        <w:t>Example Tax Invoice in Foreign Currency</w:t>
      </w:r>
    </w:p>
    <w:p w:rsidR="009656FE" w:rsidRDefault="009656FE" w:rsidP="009656FE">
      <w:pPr>
        <w:shd w:val="clear" w:color="auto" w:fill="FFFFFF"/>
        <w:spacing w:after="150" w:line="240" w:lineRule="auto"/>
        <w:rPr>
          <w:rFonts w:ascii="Arial" w:eastAsia="Times New Roman" w:hAnsi="Arial" w:cs="Arial"/>
          <w:color w:val="666666"/>
          <w:sz w:val="18"/>
          <w:szCs w:val="18"/>
          <w:lang w:val="en-MY" w:eastAsia="en-MY"/>
        </w:rPr>
      </w:pPr>
    </w:p>
    <w:p w:rsidR="009656FE" w:rsidRPr="009656FE" w:rsidRDefault="009656FE" w:rsidP="009656FE">
      <w:pPr>
        <w:shd w:val="clear" w:color="auto" w:fill="FFFFFF"/>
        <w:spacing w:after="150" w:line="240" w:lineRule="auto"/>
        <w:rPr>
          <w:rFonts w:ascii="Arial" w:eastAsia="Times New Roman" w:hAnsi="Arial" w:cs="Arial"/>
          <w:color w:val="666666"/>
          <w:sz w:val="18"/>
          <w:szCs w:val="18"/>
          <w:lang w:val="en-MY" w:eastAsia="en-MY"/>
        </w:rPr>
      </w:pPr>
    </w:p>
    <w:p w:rsidR="009656FE" w:rsidRDefault="009656FE">
      <w:bookmarkStart w:id="0" w:name="_GoBack"/>
      <w:bookmarkEnd w:id="0"/>
    </w:p>
    <w:sectPr w:rsidR="009656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57AC1"/>
    <w:multiLevelType w:val="multilevel"/>
    <w:tmpl w:val="BE5ED084"/>
    <w:lvl w:ilvl="0">
      <w:start w:val="3"/>
      <w:numFmt w:val="decimal"/>
      <w:lvlText w:val="%1.0"/>
      <w:lvlJc w:val="left"/>
      <w:pPr>
        <w:ind w:left="360" w:hanging="360"/>
      </w:pPr>
      <w:rPr>
        <w:rFonts w:asciiTheme="minorHAnsi" w:hAnsiTheme="minorHAnsi" w:hint="default"/>
        <w:b/>
        <w:sz w:val="22"/>
        <w:szCs w:val="22"/>
      </w:rPr>
    </w:lvl>
    <w:lvl w:ilvl="1">
      <w:start w:val="1"/>
      <w:numFmt w:val="decimal"/>
      <w:lvlText w:val="%1.%2"/>
      <w:lvlJc w:val="left"/>
      <w:pPr>
        <w:ind w:left="1068" w:hanging="360"/>
      </w:pPr>
      <w:rPr>
        <w:rFonts w:hint="default"/>
        <w:b/>
        <w:lang w:val="ms-MY"/>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0E46F32"/>
    <w:multiLevelType w:val="multilevel"/>
    <w:tmpl w:val="252EAF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6FE"/>
    <w:rsid w:val="008F26E2"/>
    <w:rsid w:val="009656FE"/>
    <w:rsid w:val="009D076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FE"/>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6FE"/>
    <w:pPr>
      <w:ind w:left="720"/>
      <w:contextualSpacing/>
    </w:pPr>
    <w:rPr>
      <w:lang w:val="en-US"/>
    </w:rPr>
  </w:style>
  <w:style w:type="paragraph" w:styleId="NormalWeb">
    <w:name w:val="Normal (Web)"/>
    <w:basedOn w:val="Normal"/>
    <w:uiPriority w:val="99"/>
    <w:semiHidden/>
    <w:unhideWhenUsed/>
    <w:rsid w:val="009656FE"/>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FE"/>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6FE"/>
    <w:pPr>
      <w:ind w:left="720"/>
      <w:contextualSpacing/>
    </w:pPr>
    <w:rPr>
      <w:lang w:val="en-US"/>
    </w:rPr>
  </w:style>
  <w:style w:type="paragraph" w:styleId="NormalWeb">
    <w:name w:val="Normal (Web)"/>
    <w:basedOn w:val="Normal"/>
    <w:uiPriority w:val="99"/>
    <w:semiHidden/>
    <w:unhideWhenUsed/>
    <w:rsid w:val="009656FE"/>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2017-12-15T08:42:00Z</dcterms:created>
  <dcterms:modified xsi:type="dcterms:W3CDTF">2017-12-16T09:35:00Z</dcterms:modified>
</cp:coreProperties>
</file>