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52</w:t>
      </w:r>
      <w:r w:rsidRPr="00E7642D">
        <w:rPr>
          <w:rFonts w:ascii="Arial" w:hAnsi="Arial" w:cs="Arial"/>
          <w:b/>
          <w:vertAlign w:val="superscript"/>
        </w:rPr>
        <w:t>ND</w:t>
      </w:r>
      <w:r w:rsidRPr="00E7642D">
        <w:rPr>
          <w:rFonts w:ascii="Arial" w:hAnsi="Arial" w:cs="Arial"/>
          <w:b/>
        </w:rPr>
        <w:t xml:space="preserve"> ANNUAL GENERAL MEETING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422E47" w:rsidRDefault="00E15105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 xml:space="preserve">MATRADE EXHIBITION &amp; CONVENTION CENTRE, MENARA MATRADE, </w:t>
      </w:r>
    </w:p>
    <w:p w:rsidR="001700C7" w:rsidRPr="00E7642D" w:rsidRDefault="00E15105" w:rsidP="00422E4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JALAN SULTAN HAJI AHMAD SHAH, 50480 KUALA LUMPUR</w:t>
      </w:r>
    </w:p>
    <w:p w:rsidR="001700C7" w:rsidRPr="00E7642D" w:rsidRDefault="00E15105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TUESDAY, 23 MAY 2017 AT 10.00 A.M</w:t>
      </w:r>
    </w:p>
    <w:p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</w:p>
    <w:p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  <w:r w:rsidRPr="00E7642D">
        <w:rPr>
          <w:rFonts w:ascii="Arial" w:hAnsi="Arial" w:cs="Arial"/>
        </w:rPr>
        <w:t xml:space="preserve">The following </w:t>
      </w:r>
      <w:r w:rsidR="009D6342">
        <w:rPr>
          <w:rFonts w:ascii="Arial" w:hAnsi="Arial" w:cs="Arial"/>
        </w:rPr>
        <w:t xml:space="preserve">Ordinary </w:t>
      </w:r>
      <w:r w:rsidRPr="00E7642D">
        <w:rPr>
          <w:rFonts w:ascii="Arial" w:hAnsi="Arial" w:cs="Arial"/>
        </w:rPr>
        <w:t xml:space="preserve">Resolutions as set out in the Notice of the </w:t>
      </w:r>
      <w:r w:rsidR="00E7642D" w:rsidRPr="00E7642D">
        <w:rPr>
          <w:rFonts w:ascii="Arial" w:hAnsi="Arial" w:cs="Arial"/>
        </w:rPr>
        <w:t>52</w:t>
      </w:r>
      <w:r w:rsidR="00E7642D" w:rsidRPr="00E7642D">
        <w:rPr>
          <w:rFonts w:ascii="Arial" w:hAnsi="Arial" w:cs="Arial"/>
          <w:vertAlign w:val="superscript"/>
        </w:rPr>
        <w:t>nd</w:t>
      </w:r>
      <w:r w:rsidR="00E7642D" w:rsidRPr="00E7642D">
        <w:rPr>
          <w:rFonts w:ascii="Arial" w:hAnsi="Arial" w:cs="Arial"/>
        </w:rPr>
        <w:t xml:space="preserve"> </w:t>
      </w:r>
      <w:r w:rsidR="00082177" w:rsidRPr="00082177">
        <w:rPr>
          <w:rFonts w:ascii="Arial" w:hAnsi="Arial" w:cs="Arial"/>
        </w:rPr>
        <w:t>Annual General Meeting</w:t>
      </w:r>
      <w:r w:rsidR="00082177">
        <w:rPr>
          <w:rFonts w:ascii="Arial" w:hAnsi="Arial" w:cs="Arial"/>
        </w:rPr>
        <w:t xml:space="preserve"> (‘</w:t>
      </w:r>
      <w:r w:rsidR="008201B8" w:rsidRPr="00C3200C">
        <w:rPr>
          <w:rFonts w:ascii="Arial" w:hAnsi="Arial" w:cs="Arial"/>
          <w:b/>
        </w:rPr>
        <w:t>52</w:t>
      </w:r>
      <w:r w:rsidR="008201B8" w:rsidRPr="00C3200C">
        <w:rPr>
          <w:rFonts w:ascii="Arial" w:hAnsi="Arial" w:cs="Arial"/>
          <w:b/>
          <w:vertAlign w:val="superscript"/>
        </w:rPr>
        <w:t>nd</w:t>
      </w:r>
      <w:r w:rsidR="008201B8" w:rsidRPr="00C3200C">
        <w:rPr>
          <w:rFonts w:ascii="Arial" w:hAnsi="Arial" w:cs="Arial"/>
          <w:b/>
        </w:rPr>
        <w:t xml:space="preserve"> </w:t>
      </w:r>
      <w:r w:rsidR="00082177" w:rsidRPr="00C3200C">
        <w:rPr>
          <w:rFonts w:ascii="Arial" w:hAnsi="Arial" w:cs="Arial"/>
          <w:b/>
        </w:rPr>
        <w:t>AGM’</w:t>
      </w:r>
      <w:r w:rsidR="00082177">
        <w:rPr>
          <w:rFonts w:ascii="Arial" w:hAnsi="Arial" w:cs="Arial"/>
        </w:rPr>
        <w:t>)</w:t>
      </w:r>
      <w:r w:rsidR="00C3200C">
        <w:rPr>
          <w:rFonts w:ascii="Arial" w:hAnsi="Arial" w:cs="Arial"/>
        </w:rPr>
        <w:t xml:space="preserve"> dated </w:t>
      </w:r>
      <w:r w:rsidR="00583434">
        <w:rPr>
          <w:rFonts w:ascii="Arial" w:hAnsi="Arial" w:cs="Arial"/>
        </w:rPr>
        <w:t>28</w:t>
      </w:r>
      <w:r w:rsidR="00C3200C">
        <w:rPr>
          <w:rFonts w:ascii="Arial" w:hAnsi="Arial" w:cs="Arial"/>
        </w:rPr>
        <w:t xml:space="preserve"> </w:t>
      </w:r>
      <w:r w:rsidR="00583434">
        <w:rPr>
          <w:rFonts w:ascii="Arial" w:hAnsi="Arial" w:cs="Arial"/>
        </w:rPr>
        <w:t>April</w:t>
      </w:r>
      <w:bookmarkStart w:id="0" w:name="_GoBack"/>
      <w:bookmarkEnd w:id="0"/>
      <w:r w:rsidRPr="00E7642D">
        <w:rPr>
          <w:rFonts w:ascii="Arial" w:hAnsi="Arial" w:cs="Arial"/>
        </w:rPr>
        <w:t xml:space="preserve"> 2017 were duly voted by way of poll at the 52</w:t>
      </w:r>
      <w:r w:rsidRPr="00E7642D">
        <w:rPr>
          <w:rFonts w:ascii="Arial" w:hAnsi="Arial" w:cs="Arial"/>
          <w:vertAlign w:val="superscript"/>
        </w:rPr>
        <w:t>nd</w:t>
      </w:r>
      <w:r w:rsidRPr="00E7642D">
        <w:rPr>
          <w:rFonts w:ascii="Arial" w:hAnsi="Arial" w:cs="Arial"/>
        </w:rPr>
        <w:t xml:space="preserve"> AGM of the</w:t>
      </w:r>
      <w:r w:rsidR="00E7642D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>Company in accordance with Paragraph 8.29A of the Main Market Listing Requirements of Bursa Malaysia Securities Berhad.</w:t>
      </w:r>
    </w:p>
    <w:p w:rsidR="00E15105" w:rsidRPr="00E7642D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5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819"/>
      </w:tblGrid>
      <w:tr w:rsidR="00246D37" w:rsidRPr="00E7642D" w:rsidTr="00001A58">
        <w:trPr>
          <w:trHeight w:val="278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ABSTAIN</w:t>
            </w:r>
          </w:p>
        </w:tc>
      </w:tr>
      <w:tr w:rsidR="00001A58" w:rsidRPr="00E7642D" w:rsidTr="00001A58">
        <w:trPr>
          <w:trHeight w:val="413"/>
        </w:trPr>
        <w:tc>
          <w:tcPr>
            <w:tcW w:w="1418" w:type="dxa"/>
            <w:vMerge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001A58" w:rsidRPr="00E7642D" w:rsidTr="00001A58">
        <w:trPr>
          <w:trHeight w:val="103"/>
        </w:trPr>
        <w:tc>
          <w:tcPr>
            <w:tcW w:w="1418" w:type="dxa"/>
          </w:tcPr>
          <w:p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re-elect Datuk Haji Mohd Haniff Haji Koslan, a Director who retires in accordance with Article 101 of the Company’s Constitution, and being eligible has offered himself for re-election.</w:t>
            </w:r>
          </w:p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291,623,944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99.9978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6,448</w:t>
            </w:r>
          </w:p>
        </w:tc>
        <w:tc>
          <w:tcPr>
            <w:tcW w:w="1138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0.0022</w:t>
            </w:r>
          </w:p>
        </w:tc>
        <w:tc>
          <w:tcPr>
            <w:tcW w:w="155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001A58" w:rsidRPr="00E7642D" w:rsidTr="00001A58">
        <w:trPr>
          <w:trHeight w:val="103"/>
        </w:trPr>
        <w:tc>
          <w:tcPr>
            <w:tcW w:w="1418" w:type="dxa"/>
          </w:tcPr>
          <w:p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re-elect Dato’ Ab Rahim Abu Bakar,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95(i)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291,620,838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99.9967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9,554</w:t>
            </w:r>
          </w:p>
        </w:tc>
        <w:tc>
          <w:tcPr>
            <w:tcW w:w="1138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0.0033</w:t>
            </w:r>
          </w:p>
        </w:tc>
        <w:tc>
          <w:tcPr>
            <w:tcW w:w="155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001A58" w:rsidRPr="00E7642D" w:rsidTr="00001A58">
        <w:trPr>
          <w:trHeight w:val="103"/>
        </w:trPr>
        <w:tc>
          <w:tcPr>
            <w:tcW w:w="1418" w:type="dxa"/>
          </w:tcPr>
          <w:p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re-elect Datuk Hj Faisyal Datuk Yusof Hamdain Diego,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95(i)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291,621,896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99.9971</w:t>
            </w:r>
          </w:p>
        </w:tc>
        <w:tc>
          <w:tcPr>
            <w:tcW w:w="1134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8,496</w:t>
            </w:r>
          </w:p>
        </w:tc>
        <w:tc>
          <w:tcPr>
            <w:tcW w:w="1138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0.0029</w:t>
            </w:r>
          </w:p>
        </w:tc>
        <w:tc>
          <w:tcPr>
            <w:tcW w:w="155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819" w:type="dxa"/>
            <w:vAlign w:val="center"/>
          </w:tcPr>
          <w:p w:rsidR="00EE6E16" w:rsidRPr="00CD04E9" w:rsidRDefault="00EE6E16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</w:tbl>
    <w:p w:rsidR="00E15105" w:rsidRPr="00E7642D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134"/>
        <w:gridCol w:w="1138"/>
        <w:gridCol w:w="1555"/>
        <w:gridCol w:w="785"/>
        <w:gridCol w:w="1341"/>
        <w:gridCol w:w="909"/>
      </w:tblGrid>
      <w:tr w:rsidR="00246D37" w:rsidRPr="00E7642D" w:rsidTr="00001A58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246D37" w:rsidRPr="00E7642D" w:rsidTr="00001A58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 xml:space="preserve">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:rsidR="00246D37" w:rsidRPr="00246D37" w:rsidRDefault="00C3200C" w:rsidP="00C3200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27416F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a first and final single-tier dividend of 1</w:t>
            </w:r>
            <w:r>
              <w:rPr>
                <w:rFonts w:ascii="Arial" w:hAnsi="Arial" w:cs="Arial"/>
              </w:rPr>
              <w:t>.0</w:t>
            </w:r>
            <w:r w:rsidRPr="00E7642D">
              <w:rPr>
                <w:rFonts w:ascii="Arial" w:hAnsi="Arial" w:cs="Arial"/>
              </w:rPr>
              <w:t xml:space="preserve"> sen per ordinary share for the financial year ended 31 December 2016.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291,616,496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99.9952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13,896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kern w:val="24"/>
              </w:rPr>
              <w:t>0.004</w:t>
            </w:r>
            <w:r w:rsidRPr="00CD04E9">
              <w:rPr>
                <w:rFonts w:ascii="Calibri" w:hAnsi="Calibri" w:cs="Calibri"/>
                <w:b/>
                <w:bCs/>
                <w:kern w:val="24"/>
              </w:rPr>
              <w:t>8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 for the financial year ended 31 December 2016.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291,617,936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99.9957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12,456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0.0043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an amount of up to RM1,500,000 as benefits payable to the Non-Executive Directors in accordance with Section 230(1) of the Companies Act, 2016 with effect from 1 January 2017 to 31 December 2017.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291,615,936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99.995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14,456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0.005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re-appoint Messrs. Deloitte PLT as Auditors of the Company for the ensuing year and to authorise the Directors to fix their remuneration.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60683">
              <w:rPr>
                <w:rFonts w:ascii="Calibri" w:hAnsi="Calibri" w:cs="Calibri"/>
                <w:b/>
                <w:bCs/>
                <w:kern w:val="24"/>
                <w:szCs w:val="28"/>
              </w:rPr>
              <w:t>6,138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6F500D" w:rsidRPr="00E7642D" w:rsidTr="0032725E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Authority to issue and allot shares pursuant to Section 75 and Section 76 of the Companies Act, 2016.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6,138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  <w:tr w:rsidR="006F500D" w:rsidRPr="00E7642D" w:rsidTr="00DF3EE7">
        <w:trPr>
          <w:trHeight w:val="104"/>
        </w:trPr>
        <w:tc>
          <w:tcPr>
            <w:tcW w:w="1418" w:type="dxa"/>
          </w:tcPr>
          <w:p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Proposed renewal of authority for Share Buy-Back.</w:t>
            </w:r>
          </w:p>
          <w:p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291,624,254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99.9979</w:t>
            </w:r>
          </w:p>
        </w:tc>
        <w:tc>
          <w:tcPr>
            <w:tcW w:w="1134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6</w:t>
            </w:r>
            <w:r>
              <w:rPr>
                <w:rFonts w:ascii="Calibri" w:hAnsi="Calibri" w:cs="Calibri"/>
                <w:b/>
                <w:bCs/>
                <w:kern w:val="24"/>
              </w:rPr>
              <w:t>,</w:t>
            </w:r>
            <w:r w:rsidRPr="00CD04E9">
              <w:rPr>
                <w:rFonts w:ascii="Calibri" w:hAnsi="Calibri" w:cs="Calibri"/>
                <w:b/>
                <w:bCs/>
                <w:kern w:val="24"/>
              </w:rPr>
              <w:t>138</w:t>
            </w:r>
          </w:p>
        </w:tc>
        <w:tc>
          <w:tcPr>
            <w:tcW w:w="1138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0.0021</w:t>
            </w:r>
          </w:p>
        </w:tc>
        <w:tc>
          <w:tcPr>
            <w:tcW w:w="155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291,630,392</w:t>
            </w:r>
          </w:p>
        </w:tc>
        <w:tc>
          <w:tcPr>
            <w:tcW w:w="785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3,000</w:t>
            </w:r>
          </w:p>
        </w:tc>
        <w:tc>
          <w:tcPr>
            <w:tcW w:w="909" w:type="dxa"/>
            <w:vAlign w:val="center"/>
          </w:tcPr>
          <w:p w:rsidR="006F500D" w:rsidRPr="00CD04E9" w:rsidRDefault="006F500D" w:rsidP="001775A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D04E9">
              <w:rPr>
                <w:rFonts w:ascii="Calibri" w:hAnsi="Calibri" w:cs="Calibri"/>
                <w:b/>
                <w:bCs/>
                <w:kern w:val="24"/>
              </w:rPr>
              <w:t>0.001</w:t>
            </w:r>
          </w:p>
        </w:tc>
      </w:tr>
    </w:tbl>
    <w:p w:rsidR="0027416F" w:rsidRPr="00E7642D" w:rsidRDefault="0027416F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BE" w:rsidRDefault="002D19BE" w:rsidP="00E46036">
      <w:pPr>
        <w:spacing w:after="0" w:line="240" w:lineRule="auto"/>
      </w:pPr>
      <w:r>
        <w:separator/>
      </w:r>
    </w:p>
  </w:endnote>
  <w:endnote w:type="continuationSeparator" w:id="0">
    <w:p w:rsidR="002D19BE" w:rsidRDefault="002D19BE" w:rsidP="00E4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4534"/>
      <w:docPartObj>
        <w:docPartGallery w:val="Page Numbers (Bottom of Page)"/>
        <w:docPartUnique/>
      </w:docPartObj>
    </w:sdtPr>
    <w:sdtEndPr/>
    <w:sdtContent>
      <w:p w:rsidR="00E46036" w:rsidRDefault="00E46036">
        <w:pPr>
          <w:pStyle w:val="Footer"/>
          <w:jc w:val="right"/>
        </w:pPr>
        <w:r>
          <w:t xml:space="preserve">Page | </w:t>
        </w:r>
        <w:r w:rsidR="00590658">
          <w:fldChar w:fldCharType="begin"/>
        </w:r>
        <w:r w:rsidR="008D7370">
          <w:instrText xml:space="preserve"> PAGE   \* MERGEFORMAT </w:instrText>
        </w:r>
        <w:r w:rsidR="00590658">
          <w:fldChar w:fldCharType="separate"/>
        </w:r>
        <w:r w:rsidR="00583434">
          <w:rPr>
            <w:noProof/>
          </w:rPr>
          <w:t>1</w:t>
        </w:r>
        <w:r w:rsidR="00590658">
          <w:rPr>
            <w:noProof/>
          </w:rPr>
          <w:fldChar w:fldCharType="end"/>
        </w:r>
        <w:r>
          <w:t xml:space="preserve"> </w:t>
        </w:r>
      </w:p>
    </w:sdtContent>
  </w:sdt>
  <w:p w:rsidR="00E46036" w:rsidRDefault="00E46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BE" w:rsidRDefault="002D19BE" w:rsidP="00E46036">
      <w:pPr>
        <w:spacing w:after="0" w:line="240" w:lineRule="auto"/>
      </w:pPr>
      <w:r>
        <w:separator/>
      </w:r>
    </w:p>
  </w:footnote>
  <w:footnote w:type="continuationSeparator" w:id="0">
    <w:p w:rsidR="002D19BE" w:rsidRDefault="002D19BE" w:rsidP="00E46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0C7"/>
    <w:rsid w:val="00001A58"/>
    <w:rsid w:val="00001FD6"/>
    <w:rsid w:val="000754D3"/>
    <w:rsid w:val="00082177"/>
    <w:rsid w:val="000940C7"/>
    <w:rsid w:val="000C32DF"/>
    <w:rsid w:val="000E4C01"/>
    <w:rsid w:val="001700C7"/>
    <w:rsid w:val="0019625A"/>
    <w:rsid w:val="001A16F8"/>
    <w:rsid w:val="00246D37"/>
    <w:rsid w:val="0027416F"/>
    <w:rsid w:val="002D19BE"/>
    <w:rsid w:val="00422E47"/>
    <w:rsid w:val="004313AA"/>
    <w:rsid w:val="00474606"/>
    <w:rsid w:val="00583434"/>
    <w:rsid w:val="00590658"/>
    <w:rsid w:val="00625686"/>
    <w:rsid w:val="006F500D"/>
    <w:rsid w:val="0077312E"/>
    <w:rsid w:val="007F6D5C"/>
    <w:rsid w:val="008201B8"/>
    <w:rsid w:val="00847AFF"/>
    <w:rsid w:val="008D7370"/>
    <w:rsid w:val="00925B24"/>
    <w:rsid w:val="0098783B"/>
    <w:rsid w:val="009D6342"/>
    <w:rsid w:val="009D6DCF"/>
    <w:rsid w:val="00A05DE3"/>
    <w:rsid w:val="00A46B90"/>
    <w:rsid w:val="00BF5775"/>
    <w:rsid w:val="00C02D91"/>
    <w:rsid w:val="00C3200C"/>
    <w:rsid w:val="00C50DB5"/>
    <w:rsid w:val="00D2323C"/>
    <w:rsid w:val="00DE5EED"/>
    <w:rsid w:val="00E15105"/>
    <w:rsid w:val="00E46036"/>
    <w:rsid w:val="00E7642D"/>
    <w:rsid w:val="00EC4AD0"/>
    <w:rsid w:val="00E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036"/>
  </w:style>
  <w:style w:type="paragraph" w:styleId="Footer">
    <w:name w:val="footer"/>
    <w:basedOn w:val="Normal"/>
    <w:link w:val="FooterChar"/>
    <w:uiPriority w:val="99"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6"/>
  </w:style>
  <w:style w:type="paragraph" w:styleId="NormalWeb">
    <w:name w:val="Normal (Web)"/>
    <w:basedOn w:val="Normal"/>
    <w:uiPriority w:val="99"/>
    <w:unhideWhenUsed/>
    <w:rsid w:val="00E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036"/>
  </w:style>
  <w:style w:type="paragraph" w:styleId="Footer">
    <w:name w:val="footer"/>
    <w:basedOn w:val="Normal"/>
    <w:link w:val="FooterChar"/>
    <w:uiPriority w:val="99"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6"/>
  </w:style>
  <w:style w:type="paragraph" w:styleId="NormalWeb">
    <w:name w:val="Normal (Web)"/>
    <w:basedOn w:val="Normal"/>
    <w:uiPriority w:val="99"/>
    <w:unhideWhenUsed/>
    <w:rsid w:val="00E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264D-C6D6-4CE6-868D-ADCBF154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User</cp:lastModifiedBy>
  <cp:revision>12</cp:revision>
  <cp:lastPrinted>2017-05-23T05:51:00Z</cp:lastPrinted>
  <dcterms:created xsi:type="dcterms:W3CDTF">2017-05-22T08:19:00Z</dcterms:created>
  <dcterms:modified xsi:type="dcterms:W3CDTF">2017-05-25T08:23:00Z</dcterms:modified>
</cp:coreProperties>
</file>