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C8" w:rsidRDefault="00121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KUB MALAYSIA BERHAD</w:t>
      </w:r>
    </w:p>
    <w:p w:rsidR="007062C8" w:rsidRDefault="00121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:rsidR="007062C8" w:rsidRDefault="007062C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7062C8" w:rsidRDefault="00121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DEWAN SHAH ALAM 1, GROUND FLOOR, SHAH ALAM CONVENTION CENTRE,</w:t>
      </w:r>
    </w:p>
    <w:p w:rsidR="007062C8" w:rsidRDefault="00121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NO.4, JALAN PERBADANAN 14/9, 40000 SHAH ALAM, SELANGOR</w:t>
      </w:r>
    </w:p>
    <w:p w:rsidR="007062C8" w:rsidRDefault="001212E6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02 AUGUST 2017, AT 10.00 A.M</w:t>
      </w:r>
    </w:p>
    <w:p w:rsidR="007062C8" w:rsidRDefault="007062C8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7062C8" w:rsidRDefault="001212E6">
      <w:pPr>
        <w:spacing w:line="240" w:lineRule="auto"/>
        <w:ind w:left="-180" w:right="-9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Ordinary Resolution as set out </w:t>
      </w:r>
      <w:r>
        <w:rPr>
          <w:rFonts w:ascii="Arial" w:hAnsi="Arial" w:cs="Arial"/>
        </w:rPr>
        <w:t>in the Notice of the Extraordinary General Meeting (‘</w:t>
      </w:r>
      <w:r>
        <w:rPr>
          <w:rFonts w:ascii="Arial" w:hAnsi="Arial" w:cs="Arial"/>
          <w:b/>
        </w:rPr>
        <w:t>EGM</w:t>
      </w:r>
      <w:r>
        <w:rPr>
          <w:rFonts w:ascii="Arial" w:hAnsi="Arial" w:cs="Arial"/>
        </w:rPr>
        <w:t xml:space="preserve">’) dated 10 July 2017 </w:t>
      </w:r>
      <w:proofErr w:type="gramStart"/>
      <w:r>
        <w:rPr>
          <w:rFonts w:ascii="Arial" w:hAnsi="Arial" w:cs="Arial"/>
        </w:rPr>
        <w:t>were</w:t>
      </w:r>
      <w:proofErr w:type="gramEnd"/>
      <w:r>
        <w:rPr>
          <w:rFonts w:ascii="Arial" w:hAnsi="Arial" w:cs="Arial"/>
        </w:rPr>
        <w:t xml:space="preserve"> duly voted by way of poll at the EGM of the Company in accordance with Paragraph 8.29A of the Main Market Listing Requirements of Bursa Malaysia Securities </w:t>
      </w:r>
      <w:proofErr w:type="spellStart"/>
      <w:r>
        <w:rPr>
          <w:rFonts w:ascii="Arial" w:hAnsi="Arial" w:cs="Arial"/>
        </w:rPr>
        <w:t>Berhad</w:t>
      </w:r>
      <w:proofErr w:type="spellEnd"/>
      <w:r>
        <w:rPr>
          <w:rFonts w:ascii="Arial" w:hAnsi="Arial" w:cs="Arial"/>
        </w:rPr>
        <w:t>.</w:t>
      </w:r>
    </w:p>
    <w:p w:rsidR="007062C8" w:rsidRDefault="007062C8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142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1843"/>
        <w:gridCol w:w="1134"/>
        <w:gridCol w:w="992"/>
        <w:gridCol w:w="1469"/>
        <w:gridCol w:w="657"/>
        <w:gridCol w:w="993"/>
        <w:gridCol w:w="960"/>
      </w:tblGrid>
      <w:tr w:rsidR="007062C8">
        <w:trPr>
          <w:trHeight w:val="260"/>
        </w:trPr>
        <w:tc>
          <w:tcPr>
            <w:tcW w:w="1419" w:type="dxa"/>
            <w:vMerge w:val="restart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RESOLUTI</w:t>
            </w:r>
            <w:r>
              <w:rPr>
                <w:rFonts w:ascii="Arial" w:hAnsi="Arial" w:cs="Arial"/>
                <w:b/>
                <w:sz w:val="18"/>
                <w:szCs w:val="18"/>
              </w:rPr>
              <w:t>ON</w:t>
            </w:r>
          </w:p>
        </w:tc>
        <w:tc>
          <w:tcPr>
            <w:tcW w:w="3118" w:type="dxa"/>
            <w:vMerge w:val="restart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</w:t>
            </w:r>
          </w:p>
        </w:tc>
        <w:tc>
          <w:tcPr>
            <w:tcW w:w="3544" w:type="dxa"/>
            <w:gridSpan w:val="2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ABSTAIN</w:t>
            </w:r>
          </w:p>
        </w:tc>
      </w:tr>
      <w:tr w:rsidR="007062C8">
        <w:trPr>
          <w:trHeight w:val="600"/>
        </w:trPr>
        <w:tc>
          <w:tcPr>
            <w:tcW w:w="1419" w:type="dxa"/>
            <w:vMerge/>
            <w:shd w:val="clear" w:color="auto" w:fill="BFBFBF" w:themeFill="background1" w:themeFillShade="BF"/>
            <w:vAlign w:val="bottom"/>
          </w:tcPr>
          <w:p w:rsidR="007062C8" w:rsidRDefault="007062C8">
            <w:pPr>
              <w:snapToGrid w:val="0"/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BFBFBF" w:themeFill="background1" w:themeFillShade="BF"/>
            <w:vAlign w:val="bottom"/>
          </w:tcPr>
          <w:p w:rsidR="007062C8" w:rsidRDefault="007062C8">
            <w:pPr>
              <w:snapToGrid w:val="0"/>
              <w:spacing w:before="40" w:after="4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OFSHARES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469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657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OF SHARES</w:t>
            </w:r>
          </w:p>
        </w:tc>
        <w:tc>
          <w:tcPr>
            <w:tcW w:w="960" w:type="dxa"/>
            <w:shd w:val="clear" w:color="auto" w:fill="BFBFBF" w:themeFill="background1" w:themeFillShade="BF"/>
            <w:vAlign w:val="bottom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7062C8" w:rsidTr="00845CBC">
        <w:trPr>
          <w:trHeight w:val="4804"/>
        </w:trPr>
        <w:tc>
          <w:tcPr>
            <w:tcW w:w="1419" w:type="dxa"/>
          </w:tcPr>
          <w:p w:rsidR="007062C8" w:rsidRDefault="001212E6">
            <w:pPr>
              <w:snapToGrid w:val="0"/>
              <w:spacing w:before="40"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8" w:type="dxa"/>
          </w:tcPr>
          <w:p w:rsidR="007062C8" w:rsidRDefault="001212E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40"/>
              </w:rPr>
            </w:pPr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Proposed Acquisition by KUB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Malua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Plantation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Sdn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Bhd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(formerly known as KUB Oil &amp; Gas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Sdn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Bhd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) (‘KB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Malua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>’), a wholly-owned subsidiary company of KUB,</w:t>
            </w:r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of a parcel of oil palm plantation land held under country lease 095316395 in Sungai Kinabatangan, district of Kinabatangan, Sabah measuring approximately 1,534 hectares (‘land’) from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Kwantas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Plantations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Sdn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Bhd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(‘KPSB’), a wholly-owned subsidiary company</w:t>
            </w:r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of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Kwantas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Corporation </w:t>
            </w:r>
            <w:proofErr w:type="spellStart"/>
            <w:r>
              <w:rPr>
                <w:rStyle w:val="A3"/>
                <w:rFonts w:ascii="Arial" w:hAnsi="Arial" w:cs="Arial"/>
                <w:b w:val="0"/>
                <w:sz w:val="22"/>
              </w:rPr>
              <w:t>Berhad</w:t>
            </w:r>
            <w:proofErr w:type="spellEnd"/>
            <w:r>
              <w:rPr>
                <w:rStyle w:val="A3"/>
                <w:rFonts w:ascii="Arial" w:hAnsi="Arial" w:cs="Arial"/>
                <w:b w:val="0"/>
                <w:sz w:val="22"/>
              </w:rPr>
              <w:t xml:space="preserve"> for a cash consideration of RM100,448,621 (‘</w:t>
            </w:r>
            <w:r>
              <w:rPr>
                <w:rStyle w:val="A3"/>
                <w:rFonts w:ascii="Arial" w:hAnsi="Arial" w:cs="Arial"/>
                <w:sz w:val="22"/>
              </w:rPr>
              <w:t>Proposed Acquisition</w:t>
            </w:r>
            <w:r>
              <w:rPr>
                <w:rStyle w:val="A3"/>
                <w:rFonts w:ascii="Arial" w:hAnsi="Arial" w:cs="Arial"/>
                <w:b w:val="0"/>
                <w:sz w:val="22"/>
              </w:rPr>
              <w:t>’)</w:t>
            </w:r>
          </w:p>
        </w:tc>
        <w:tc>
          <w:tcPr>
            <w:tcW w:w="1701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587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491</w:t>
            </w:r>
          </w:p>
        </w:tc>
        <w:tc>
          <w:tcPr>
            <w:tcW w:w="1843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99.9761</w:t>
            </w:r>
          </w:p>
        </w:tc>
        <w:tc>
          <w:tcPr>
            <w:tcW w:w="1134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796</w:t>
            </w:r>
          </w:p>
        </w:tc>
        <w:tc>
          <w:tcPr>
            <w:tcW w:w="992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0.0239</w:t>
            </w:r>
          </w:p>
        </w:tc>
        <w:tc>
          <w:tcPr>
            <w:tcW w:w="1469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291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657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287</w:t>
            </w:r>
          </w:p>
        </w:tc>
        <w:tc>
          <w:tcPr>
            <w:tcW w:w="657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</w:t>
            </w:r>
          </w:p>
        </w:tc>
        <w:tc>
          <w:tcPr>
            <w:tcW w:w="993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  <w:r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>025</w:t>
            </w:r>
          </w:p>
        </w:tc>
        <w:tc>
          <w:tcPr>
            <w:tcW w:w="960" w:type="dxa"/>
            <w:vAlign w:val="center"/>
          </w:tcPr>
          <w:p w:rsidR="007062C8" w:rsidRDefault="001212E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0.0151</w:t>
            </w:r>
          </w:p>
        </w:tc>
      </w:tr>
    </w:tbl>
    <w:p w:rsidR="007062C8" w:rsidRDefault="007062C8" w:rsidP="00845CBC">
      <w:pPr>
        <w:pStyle w:val="Default"/>
        <w:rPr>
          <w:rFonts w:cstheme="minorBidi"/>
          <w:color w:val="auto"/>
          <w:sz w:val="38"/>
        </w:rPr>
      </w:pPr>
    </w:p>
    <w:sectPr w:rsidR="007062C8" w:rsidSect="00845CBC">
      <w:footerReference w:type="default" r:id="rId9"/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E6" w:rsidRDefault="001212E6">
      <w:pPr>
        <w:spacing w:after="0" w:line="240" w:lineRule="auto"/>
      </w:pPr>
      <w:r>
        <w:separator/>
      </w:r>
    </w:p>
  </w:endnote>
  <w:endnote w:type="continuationSeparator" w:id="0">
    <w:p w:rsidR="001212E6" w:rsidRDefault="0012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 Std">
    <w:altName w:val="Segoe Print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4533"/>
    </w:sdtPr>
    <w:sdtEndPr/>
    <w:sdtContent>
      <w:p w:rsidR="007062C8" w:rsidRDefault="001212E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CBC">
          <w:rPr>
            <w:noProof/>
          </w:rPr>
          <w:t>1</w:t>
        </w:r>
        <w:r>
          <w:fldChar w:fldCharType="end"/>
        </w:r>
      </w:p>
    </w:sdtContent>
  </w:sdt>
  <w:p w:rsidR="007062C8" w:rsidRDefault="00706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E6" w:rsidRDefault="001212E6">
      <w:pPr>
        <w:spacing w:after="0" w:line="240" w:lineRule="auto"/>
      </w:pPr>
      <w:r>
        <w:separator/>
      </w:r>
    </w:p>
  </w:footnote>
  <w:footnote w:type="continuationSeparator" w:id="0">
    <w:p w:rsidR="001212E6" w:rsidRDefault="0012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7"/>
    <w:rsid w:val="0000642D"/>
    <w:rsid w:val="000206BF"/>
    <w:rsid w:val="00082832"/>
    <w:rsid w:val="00083355"/>
    <w:rsid w:val="000F136A"/>
    <w:rsid w:val="000F1453"/>
    <w:rsid w:val="00100FC0"/>
    <w:rsid w:val="001212E6"/>
    <w:rsid w:val="00165C3D"/>
    <w:rsid w:val="001700C7"/>
    <w:rsid w:val="001E28A9"/>
    <w:rsid w:val="002001AD"/>
    <w:rsid w:val="00312D35"/>
    <w:rsid w:val="0035159A"/>
    <w:rsid w:val="003559C8"/>
    <w:rsid w:val="003B6008"/>
    <w:rsid w:val="0040376F"/>
    <w:rsid w:val="00405374"/>
    <w:rsid w:val="00421DB1"/>
    <w:rsid w:val="0047232F"/>
    <w:rsid w:val="004E77DB"/>
    <w:rsid w:val="00507F7A"/>
    <w:rsid w:val="005A3066"/>
    <w:rsid w:val="00621856"/>
    <w:rsid w:val="00625686"/>
    <w:rsid w:val="00650FDC"/>
    <w:rsid w:val="007062C8"/>
    <w:rsid w:val="007114FC"/>
    <w:rsid w:val="00826F99"/>
    <w:rsid w:val="00845CBC"/>
    <w:rsid w:val="008834E8"/>
    <w:rsid w:val="00911146"/>
    <w:rsid w:val="00934057"/>
    <w:rsid w:val="00980070"/>
    <w:rsid w:val="00AA67A3"/>
    <w:rsid w:val="00AC30C0"/>
    <w:rsid w:val="00B0709A"/>
    <w:rsid w:val="00B13918"/>
    <w:rsid w:val="00B358C0"/>
    <w:rsid w:val="00B66664"/>
    <w:rsid w:val="00B81B1C"/>
    <w:rsid w:val="00B91E12"/>
    <w:rsid w:val="00BB765F"/>
    <w:rsid w:val="00BF6DA9"/>
    <w:rsid w:val="00C12B1A"/>
    <w:rsid w:val="00C404C1"/>
    <w:rsid w:val="00C50D36"/>
    <w:rsid w:val="00C80537"/>
    <w:rsid w:val="00CA7302"/>
    <w:rsid w:val="00CB65E2"/>
    <w:rsid w:val="00CE0D36"/>
    <w:rsid w:val="00CF64AA"/>
    <w:rsid w:val="00D525C0"/>
    <w:rsid w:val="00E131E2"/>
    <w:rsid w:val="00E15105"/>
    <w:rsid w:val="00E75B82"/>
    <w:rsid w:val="00E7642D"/>
    <w:rsid w:val="00EB2A20"/>
    <w:rsid w:val="00EB3D68"/>
    <w:rsid w:val="00EF37DF"/>
    <w:rsid w:val="00F415B6"/>
    <w:rsid w:val="00F63CC5"/>
    <w:rsid w:val="00FD2E47"/>
    <w:rsid w:val="00FD4A5E"/>
    <w:rsid w:val="00FF0E1D"/>
    <w:rsid w:val="7D40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Pr>
      <w:rFonts w:cs="HelveticaNeueLT Std"/>
      <w:b/>
      <w:bCs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3">
    <w:name w:val="A3"/>
    <w:uiPriority w:val="99"/>
    <w:rPr>
      <w:rFonts w:cs="HelveticaNeueLT Std"/>
      <w:b/>
      <w:bCs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7817B-C1D5-432F-AE05-4409D822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m.amzar</dc:creator>
  <cp:lastModifiedBy>User</cp:lastModifiedBy>
  <cp:revision>31</cp:revision>
  <cp:lastPrinted>2017-05-19T09:08:00Z</cp:lastPrinted>
  <dcterms:created xsi:type="dcterms:W3CDTF">2017-05-22T08:18:00Z</dcterms:created>
  <dcterms:modified xsi:type="dcterms:W3CDTF">2017-08-02T06:37:00Z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