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contextualSpacing/>
        <w:jc w:val="center"/>
        <w:rPr>
          <w:rFonts w:ascii="Arial" w:hAnsi="Arial" w:cs="Arial"/>
          <w:b/>
        </w:rPr>
      </w:pPr>
      <w:r>
        <w:rPr>
          <w:rFonts w:ascii="Arial" w:hAnsi="Arial" w:cs="Arial"/>
          <w:b/>
        </w:rPr>
        <w:t>KUB MALAYSIA BERHAD</w:t>
      </w:r>
    </w:p>
    <w:p>
      <w:pPr>
        <w:spacing w:line="240" w:lineRule="auto"/>
        <w:contextualSpacing/>
        <w:jc w:val="center"/>
        <w:rPr>
          <w:rFonts w:ascii="Arial" w:hAnsi="Arial" w:cs="Arial"/>
          <w:b/>
        </w:rPr>
      </w:pPr>
      <w:r>
        <w:rPr>
          <w:rFonts w:ascii="Arial" w:hAnsi="Arial" w:cs="Arial"/>
          <w:b/>
        </w:rPr>
        <w:t>MESYUARAT AGUNG LUAR BIASA</w:t>
      </w:r>
    </w:p>
    <w:p>
      <w:pPr>
        <w:spacing w:line="240" w:lineRule="auto"/>
        <w:contextualSpacing/>
        <w:jc w:val="center"/>
        <w:rPr>
          <w:rFonts w:ascii="Arial" w:hAnsi="Arial" w:cs="Arial"/>
          <w:b/>
        </w:rPr>
      </w:pPr>
    </w:p>
    <w:p>
      <w:pPr>
        <w:spacing w:line="240" w:lineRule="auto"/>
        <w:contextualSpacing/>
        <w:jc w:val="center"/>
        <w:rPr>
          <w:rFonts w:ascii="Arial" w:hAnsi="Arial" w:cs="Arial"/>
          <w:b/>
        </w:rPr>
      </w:pPr>
      <w:r>
        <w:rPr>
          <w:rFonts w:ascii="Arial" w:hAnsi="Arial" w:cs="Arial"/>
          <w:b/>
          <w:bCs/>
          <w:lang w:val="ms-MY"/>
        </w:rPr>
        <w:t>DEWAN SHAH ALAM 1, ARAS BAWAH, PUSAT KONVENSYEN SHAH ALAM</w:t>
      </w:r>
      <w:r>
        <w:rPr>
          <w:rFonts w:ascii="Arial" w:hAnsi="Arial" w:cs="Arial"/>
          <w:b/>
        </w:rPr>
        <w:br w:type="textWrapping"/>
      </w:r>
      <w:r>
        <w:rPr>
          <w:rFonts w:ascii="Arial" w:hAnsi="Arial" w:cs="Arial"/>
          <w:b/>
          <w:bCs/>
          <w:lang w:val="ms-MY"/>
        </w:rPr>
        <w:t>NO. 4, JALAN PERBADANAN 14/9, 40000 SHAH ALAM</w:t>
      </w:r>
      <w:r>
        <w:rPr>
          <w:rFonts w:ascii="Arial" w:hAnsi="Arial" w:cs="Arial"/>
          <w:b/>
        </w:rPr>
        <w:t xml:space="preserve">, </w:t>
      </w:r>
      <w:r>
        <w:rPr>
          <w:rFonts w:ascii="Arial" w:hAnsi="Arial" w:cs="Arial"/>
          <w:b/>
          <w:bCs/>
          <w:lang w:val="ms-MY"/>
        </w:rPr>
        <w:t>SELANGOR DARUL EHSAN</w:t>
      </w:r>
      <w:r>
        <w:rPr>
          <w:rFonts w:ascii="Arial" w:hAnsi="Arial" w:cs="Arial"/>
          <w:b/>
        </w:rPr>
        <w:t xml:space="preserve">  </w:t>
      </w:r>
    </w:p>
    <w:p>
      <w:pPr>
        <w:spacing w:line="240" w:lineRule="auto"/>
        <w:contextualSpacing/>
        <w:jc w:val="center"/>
        <w:rPr>
          <w:rFonts w:ascii="Arial" w:hAnsi="Arial" w:cs="Arial"/>
          <w:b/>
        </w:rPr>
      </w:pPr>
      <w:r>
        <w:rPr>
          <w:rFonts w:ascii="Arial" w:hAnsi="Arial" w:cs="Arial"/>
          <w:b/>
        </w:rPr>
        <w:t>RABU, 02 OGOS 2017, JAM 10.00 PAGI</w:t>
      </w:r>
    </w:p>
    <w:p>
      <w:pPr>
        <w:spacing w:line="240" w:lineRule="auto"/>
        <w:contextualSpacing/>
        <w:jc w:val="center"/>
        <w:rPr>
          <w:rFonts w:ascii="Arial" w:hAnsi="Arial" w:cs="Arial"/>
          <w:b/>
        </w:rPr>
      </w:pPr>
    </w:p>
    <w:p>
      <w:pPr>
        <w:spacing w:line="240" w:lineRule="auto"/>
        <w:ind w:left="-90" w:right="-900"/>
        <w:contextualSpacing/>
        <w:jc w:val="both"/>
        <w:rPr>
          <w:rFonts w:ascii="Arial" w:hAnsi="Arial" w:cs="Arial"/>
        </w:rPr>
      </w:pPr>
      <w:r>
        <w:rPr>
          <w:rFonts w:ascii="Arial" w:hAnsi="Arial" w:cs="Arial"/>
        </w:rPr>
        <w:t>Resolusi biasa berikut seperti yang dinyatakan di dalam Notis Mesyuarat Agung Luar Biasa (‘</w:t>
      </w:r>
      <w:r>
        <w:rPr>
          <w:rFonts w:ascii="Arial" w:hAnsi="Arial" w:cs="Arial"/>
          <w:b/>
        </w:rPr>
        <w:t>MALB</w:t>
      </w:r>
      <w:r>
        <w:rPr>
          <w:rFonts w:ascii="Arial" w:hAnsi="Arial" w:cs="Arial"/>
        </w:rPr>
        <w:t>’)  bertarikh 10 Julai 2017 telah di undi dengan sewajarnya secara undian ‘Poll’ pada Mesyuarat Agung Luar Biasa Syarikat menurut peruntukan Perenggan 8.29A Keperluan Penyenaraian Pasaran Utama Bursa Malaysia Securities Berhad.</w:t>
      </w:r>
    </w:p>
    <w:p>
      <w:pPr>
        <w:spacing w:line="240" w:lineRule="auto"/>
        <w:contextualSpacing/>
        <w:jc w:val="both"/>
        <w:rPr>
          <w:rFonts w:ascii="Arial" w:hAnsi="Arial" w:cs="Arial"/>
        </w:rPr>
      </w:pPr>
    </w:p>
    <w:tbl>
      <w:tblPr>
        <w:tblStyle w:val="7"/>
        <w:tblW w:w="14144"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7"/>
        <w:gridCol w:w="3969"/>
        <w:gridCol w:w="1559"/>
        <w:gridCol w:w="1134"/>
        <w:gridCol w:w="992"/>
        <w:gridCol w:w="992"/>
        <w:gridCol w:w="1560"/>
        <w:gridCol w:w="708"/>
        <w:gridCol w:w="993"/>
        <w:gridCol w:w="9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0" w:hRule="atLeast"/>
        </w:trPr>
        <w:tc>
          <w:tcPr>
            <w:tcW w:w="1277" w:type="dxa"/>
            <w:vMerge w:val="restart"/>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RESOLUSI</w:t>
            </w:r>
          </w:p>
        </w:tc>
        <w:tc>
          <w:tcPr>
            <w:tcW w:w="3969" w:type="dxa"/>
            <w:vMerge w:val="restart"/>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AGENDA</w:t>
            </w:r>
          </w:p>
        </w:tc>
        <w:tc>
          <w:tcPr>
            <w:tcW w:w="2693" w:type="dxa"/>
            <w:gridSpan w:val="2"/>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BERSETUJU</w:t>
            </w:r>
          </w:p>
        </w:tc>
        <w:tc>
          <w:tcPr>
            <w:tcW w:w="1984" w:type="dxa"/>
            <w:gridSpan w:val="2"/>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TIDAK BERSETUJU</w:t>
            </w:r>
          </w:p>
        </w:tc>
        <w:tc>
          <w:tcPr>
            <w:tcW w:w="2268" w:type="dxa"/>
            <w:gridSpan w:val="2"/>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JUMLAH KESELURUHAN</w:t>
            </w:r>
          </w:p>
        </w:tc>
        <w:tc>
          <w:tcPr>
            <w:tcW w:w="1953" w:type="dxa"/>
            <w:gridSpan w:val="2"/>
            <w:shd w:val="clear" w:color="auto" w:fill="BEBEBE" w:themeFill="background1" w:themeFillShade="BF"/>
            <w:vAlign w:val="center"/>
          </w:tcPr>
          <w:p>
            <w:pPr>
              <w:spacing w:after="0" w:line="240" w:lineRule="auto"/>
              <w:contextualSpacing/>
              <w:jc w:val="center"/>
              <w:rPr>
                <w:rFonts w:ascii="Arial" w:hAnsi="Arial" w:cs="Arial"/>
                <w:b/>
                <w:sz w:val="18"/>
                <w:szCs w:val="18"/>
              </w:rPr>
            </w:pPr>
            <w:r>
              <w:rPr>
                <w:rFonts w:ascii="Arial" w:hAnsi="Arial" w:cs="Arial"/>
                <w:b/>
                <w:sz w:val="18"/>
                <w:szCs w:val="18"/>
              </w:rPr>
              <w:t>BERKECUALI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0" w:hRule="atLeast"/>
        </w:trPr>
        <w:tc>
          <w:tcPr>
            <w:tcW w:w="1277" w:type="dxa"/>
            <w:vMerge w:val="continue"/>
            <w:shd w:val="clear" w:color="auto" w:fill="BEBEBE" w:themeFill="background1" w:themeFillShade="BF"/>
          </w:tcPr>
          <w:p>
            <w:pPr>
              <w:spacing w:after="0" w:line="240" w:lineRule="auto"/>
              <w:contextualSpacing/>
              <w:jc w:val="both"/>
              <w:rPr>
                <w:rFonts w:ascii="Arial" w:hAnsi="Arial" w:cs="Arial"/>
                <w:b/>
                <w:sz w:val="18"/>
                <w:szCs w:val="18"/>
              </w:rPr>
            </w:pPr>
          </w:p>
        </w:tc>
        <w:tc>
          <w:tcPr>
            <w:tcW w:w="3969" w:type="dxa"/>
            <w:vMerge w:val="continue"/>
            <w:shd w:val="clear" w:color="auto" w:fill="BEBEBE" w:themeFill="background1" w:themeFillShade="BF"/>
          </w:tcPr>
          <w:p>
            <w:pPr>
              <w:spacing w:after="0" w:line="240" w:lineRule="auto"/>
              <w:contextualSpacing/>
              <w:jc w:val="both"/>
              <w:rPr>
                <w:rFonts w:ascii="Arial" w:hAnsi="Arial" w:cs="Arial"/>
                <w:b/>
                <w:sz w:val="18"/>
                <w:szCs w:val="18"/>
              </w:rPr>
            </w:pPr>
          </w:p>
        </w:tc>
        <w:tc>
          <w:tcPr>
            <w:tcW w:w="1559"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JUMLAH SAHAM</w:t>
            </w:r>
          </w:p>
        </w:tc>
        <w:tc>
          <w:tcPr>
            <w:tcW w:w="1134"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w:t>
            </w:r>
          </w:p>
        </w:tc>
        <w:tc>
          <w:tcPr>
            <w:tcW w:w="992"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JUMLAH SAHAM</w:t>
            </w:r>
          </w:p>
        </w:tc>
        <w:tc>
          <w:tcPr>
            <w:tcW w:w="992"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w:t>
            </w:r>
          </w:p>
        </w:tc>
        <w:tc>
          <w:tcPr>
            <w:tcW w:w="1560"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JUMLAH SAHAM</w:t>
            </w:r>
          </w:p>
        </w:tc>
        <w:tc>
          <w:tcPr>
            <w:tcW w:w="708"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w:t>
            </w:r>
          </w:p>
        </w:tc>
        <w:tc>
          <w:tcPr>
            <w:tcW w:w="993"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JUMLAH SAHAM</w:t>
            </w:r>
          </w:p>
        </w:tc>
        <w:tc>
          <w:tcPr>
            <w:tcW w:w="960" w:type="dxa"/>
            <w:shd w:val="clear" w:color="auto" w:fill="BEBEBE" w:themeFill="background1" w:themeFillShade="BF"/>
          </w:tcPr>
          <w:p>
            <w:pPr>
              <w:spacing w:after="0" w:line="240" w:lineRule="auto"/>
              <w:contextualSpacing/>
              <w:jc w:val="center"/>
              <w:rPr>
                <w:rFonts w:ascii="Arial" w:hAnsi="Arial" w:cs="Arial"/>
                <w:b/>
                <w:sz w:val="18"/>
                <w:szCs w:val="18"/>
              </w:rPr>
            </w:pPr>
            <w:r>
              <w:rPr>
                <w:rFonts w:ascii="Arial" w:hAnsi="Arial" w:cs="Arial"/>
                <w:b/>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0" w:hRule="atLeast"/>
        </w:trPr>
        <w:tc>
          <w:tcPr>
            <w:tcW w:w="1277" w:type="dxa"/>
          </w:tcPr>
          <w:p>
            <w:pPr>
              <w:spacing w:after="0" w:line="240" w:lineRule="auto"/>
              <w:contextualSpacing/>
              <w:jc w:val="center"/>
              <w:rPr>
                <w:rFonts w:ascii="Arial" w:hAnsi="Arial" w:cs="Arial"/>
              </w:rPr>
            </w:pPr>
            <w:bookmarkStart w:id="0" w:name="_GoBack" w:colFirst="2" w:colLast="9"/>
            <w:r>
              <w:rPr>
                <w:rFonts w:ascii="Arial" w:hAnsi="Arial" w:cs="Arial"/>
              </w:rPr>
              <w:t>1.</w:t>
            </w:r>
          </w:p>
        </w:tc>
        <w:tc>
          <w:tcPr>
            <w:tcW w:w="3969" w:type="dxa"/>
          </w:tcPr>
          <w:p>
            <w:pPr>
              <w:spacing w:after="0" w:line="240" w:lineRule="auto"/>
              <w:contextualSpacing/>
              <w:jc w:val="both"/>
              <w:rPr>
                <w:rFonts w:ascii="Arial" w:hAnsi="Arial" w:cs="Arial"/>
              </w:rPr>
            </w:pPr>
            <w:r>
              <w:rPr>
                <w:rFonts w:ascii="Arial" w:hAnsi="Arial" w:cs="Arial"/>
                <w:lang w:val="en-GB"/>
              </w:rPr>
              <w:t>Cadangan Pembelian oleh KUB Malua Plantation Sdn Bhd (dahulunya dikenali sebagai KUB Oil &amp; Gas Sdn Bhd) (‘KUB Malua’), anak syarikat milik penuh KUB, parsel tanah ladang kelapa sawit yang dipegang di bawah pajakan desa 095316395 di Sungai Kinabatangan, daerah Kinabatangan, Sabah berukuran lebih kurang 1,534 hektar (‘Tanah’) daripada Kwantas Plantations Sdn Bhd (‘KPSB’), anak syarikat milik penuh Kwantas Corporation Berhad bagi balasan tunai sebanyak RM100,448,621 (‘</w:t>
            </w:r>
            <w:r>
              <w:rPr>
                <w:rFonts w:ascii="Arial" w:hAnsi="Arial" w:cs="Arial"/>
                <w:b/>
                <w:lang w:val="en-GB"/>
              </w:rPr>
              <w:t>Cadangan Pembelian’</w:t>
            </w:r>
            <w:r>
              <w:rPr>
                <w:rFonts w:ascii="Arial" w:hAnsi="Arial" w:cs="Arial"/>
                <w:lang w:val="en-GB"/>
              </w:rPr>
              <w:t>)</w:t>
            </w:r>
          </w:p>
          <w:p>
            <w:pPr>
              <w:spacing w:after="0" w:line="240" w:lineRule="auto"/>
              <w:contextualSpacing/>
              <w:jc w:val="both"/>
              <w:rPr>
                <w:rFonts w:ascii="Arial" w:hAnsi="Arial" w:cs="Arial"/>
              </w:rPr>
            </w:pPr>
          </w:p>
        </w:tc>
        <w:tc>
          <w:tcPr>
            <w:tcW w:w="1559" w:type="dxa"/>
            <w:vAlign w:val="center"/>
          </w:tcPr>
          <w:p>
            <w:pPr>
              <w:pStyle w:val="4"/>
              <w:spacing w:before="0" w:beforeAutospacing="0" w:after="0" w:afterAutospacing="0"/>
              <w:jc w:val="center"/>
              <w:rPr>
                <w:rFonts w:asciiTheme="minorHAnsi" w:hAnsiTheme="minorHAnsi" w:cstheme="minorHAnsi"/>
                <w:b/>
              </w:rPr>
            </w:pPr>
            <w:r>
              <w:rPr>
                <w:rFonts w:hint="default" w:asciiTheme="minorHAnsi" w:hAnsiTheme="minorHAnsi" w:cstheme="minorHAnsi"/>
                <w:b/>
              </w:rPr>
              <w:t>291</w:t>
            </w:r>
            <w:r>
              <w:rPr>
                <w:rFonts w:hint="default" w:asciiTheme="minorHAnsi" w:hAnsiTheme="minorHAnsi" w:cstheme="minorHAnsi"/>
                <w:b/>
                <w:lang w:val="en-US"/>
              </w:rPr>
              <w:t>,</w:t>
            </w:r>
            <w:r>
              <w:rPr>
                <w:rFonts w:hint="default" w:asciiTheme="minorHAnsi" w:hAnsiTheme="minorHAnsi" w:cstheme="minorHAnsi"/>
                <w:b/>
              </w:rPr>
              <w:t>587</w:t>
            </w:r>
            <w:r>
              <w:rPr>
                <w:rFonts w:hint="default" w:asciiTheme="minorHAnsi" w:hAnsiTheme="minorHAnsi" w:cstheme="minorHAnsi"/>
                <w:b/>
                <w:lang w:val="en-US"/>
              </w:rPr>
              <w:t>,</w:t>
            </w:r>
            <w:r>
              <w:rPr>
                <w:rFonts w:hint="default" w:asciiTheme="minorHAnsi" w:hAnsiTheme="minorHAnsi" w:cstheme="minorHAnsi"/>
                <w:b/>
              </w:rPr>
              <w:t>491</w:t>
            </w:r>
          </w:p>
        </w:tc>
        <w:tc>
          <w:tcPr>
            <w:tcW w:w="1134" w:type="dxa"/>
            <w:vAlign w:val="center"/>
          </w:tcPr>
          <w:p>
            <w:pPr>
              <w:pStyle w:val="4"/>
              <w:spacing w:before="0" w:beforeAutospacing="0" w:after="0" w:afterAutospacing="0"/>
              <w:jc w:val="center"/>
              <w:rPr>
                <w:rFonts w:asciiTheme="minorHAnsi" w:hAnsiTheme="minorHAnsi" w:cstheme="minorHAnsi"/>
                <w:b/>
                <w:lang w:val="en-US"/>
              </w:rPr>
            </w:pPr>
            <w:r>
              <w:rPr>
                <w:rFonts w:asciiTheme="minorHAnsi" w:hAnsiTheme="minorHAnsi" w:cstheme="minorHAnsi"/>
                <w:b/>
                <w:lang w:val="en-US"/>
              </w:rPr>
              <w:t>99.9761</w:t>
            </w:r>
          </w:p>
        </w:tc>
        <w:tc>
          <w:tcPr>
            <w:tcW w:w="992" w:type="dxa"/>
            <w:vAlign w:val="center"/>
          </w:tcPr>
          <w:p>
            <w:pPr>
              <w:pStyle w:val="4"/>
              <w:spacing w:before="0" w:beforeAutospacing="0" w:after="0" w:afterAutospacing="0"/>
              <w:jc w:val="center"/>
              <w:rPr>
                <w:rFonts w:asciiTheme="minorHAnsi" w:hAnsiTheme="minorHAnsi" w:cstheme="minorHAnsi"/>
                <w:b/>
              </w:rPr>
            </w:pPr>
            <w:r>
              <w:rPr>
                <w:rFonts w:hint="default" w:asciiTheme="minorHAnsi" w:hAnsiTheme="minorHAnsi" w:cstheme="minorHAnsi"/>
                <w:b/>
              </w:rPr>
              <w:t>69</w:t>
            </w:r>
            <w:r>
              <w:rPr>
                <w:rFonts w:hint="default" w:asciiTheme="minorHAnsi" w:hAnsiTheme="minorHAnsi" w:cstheme="minorHAnsi"/>
                <w:b/>
                <w:lang w:val="en-US"/>
              </w:rPr>
              <w:t>,</w:t>
            </w:r>
            <w:r>
              <w:rPr>
                <w:rFonts w:hint="default" w:asciiTheme="minorHAnsi" w:hAnsiTheme="minorHAnsi" w:cstheme="minorHAnsi"/>
                <w:b/>
              </w:rPr>
              <w:t>796</w:t>
            </w:r>
          </w:p>
        </w:tc>
        <w:tc>
          <w:tcPr>
            <w:tcW w:w="992" w:type="dxa"/>
            <w:vAlign w:val="center"/>
          </w:tcPr>
          <w:p>
            <w:pPr>
              <w:pStyle w:val="4"/>
              <w:spacing w:before="0" w:beforeAutospacing="0" w:after="0" w:afterAutospacing="0"/>
              <w:jc w:val="center"/>
              <w:rPr>
                <w:rFonts w:asciiTheme="minorHAnsi" w:hAnsiTheme="minorHAnsi" w:cstheme="minorHAnsi"/>
                <w:b/>
                <w:lang w:val="en-US"/>
              </w:rPr>
            </w:pPr>
            <w:r>
              <w:rPr>
                <w:rFonts w:asciiTheme="minorHAnsi" w:hAnsiTheme="minorHAnsi" w:cstheme="minorHAnsi"/>
                <w:b/>
                <w:lang w:val="en-US"/>
              </w:rPr>
              <w:t>0.0239</w:t>
            </w:r>
          </w:p>
        </w:tc>
        <w:tc>
          <w:tcPr>
            <w:tcW w:w="1560" w:type="dxa"/>
            <w:vAlign w:val="center"/>
          </w:tcPr>
          <w:p>
            <w:pPr>
              <w:pStyle w:val="4"/>
              <w:spacing w:before="0" w:beforeAutospacing="0" w:after="0" w:afterAutospacing="0"/>
              <w:jc w:val="center"/>
              <w:rPr>
                <w:rFonts w:asciiTheme="minorHAnsi" w:hAnsiTheme="minorHAnsi" w:cstheme="minorHAnsi"/>
                <w:b/>
              </w:rPr>
            </w:pPr>
            <w:r>
              <w:rPr>
                <w:rFonts w:hint="default" w:asciiTheme="minorHAnsi" w:hAnsiTheme="minorHAnsi" w:cstheme="minorHAnsi"/>
                <w:b/>
              </w:rPr>
              <w:t>291</w:t>
            </w:r>
            <w:r>
              <w:rPr>
                <w:rFonts w:hint="default" w:asciiTheme="minorHAnsi" w:hAnsiTheme="minorHAnsi" w:cstheme="minorHAnsi"/>
                <w:b/>
                <w:lang w:val="en-US"/>
              </w:rPr>
              <w:t>,</w:t>
            </w:r>
            <w:r>
              <w:rPr>
                <w:rFonts w:hint="default" w:asciiTheme="minorHAnsi" w:hAnsiTheme="minorHAnsi" w:cstheme="minorHAnsi"/>
                <w:b/>
              </w:rPr>
              <w:t>657</w:t>
            </w:r>
            <w:r>
              <w:rPr>
                <w:rFonts w:hint="default" w:asciiTheme="minorHAnsi" w:hAnsiTheme="minorHAnsi" w:cstheme="minorHAnsi"/>
                <w:b/>
                <w:lang w:val="en-US"/>
              </w:rPr>
              <w:t>,</w:t>
            </w:r>
            <w:r>
              <w:rPr>
                <w:rFonts w:hint="default" w:asciiTheme="minorHAnsi" w:hAnsiTheme="minorHAnsi" w:cstheme="minorHAnsi"/>
                <w:b/>
              </w:rPr>
              <w:t>287</w:t>
            </w:r>
          </w:p>
        </w:tc>
        <w:tc>
          <w:tcPr>
            <w:tcW w:w="708" w:type="dxa"/>
            <w:vAlign w:val="center"/>
          </w:tcPr>
          <w:p>
            <w:pPr>
              <w:pStyle w:val="4"/>
              <w:spacing w:before="0" w:beforeAutospacing="0" w:after="0" w:afterAutospacing="0"/>
              <w:jc w:val="center"/>
              <w:rPr>
                <w:rFonts w:asciiTheme="minorHAnsi" w:hAnsiTheme="minorHAnsi" w:cstheme="minorHAnsi"/>
                <w:b/>
                <w:lang w:val="en-US"/>
              </w:rPr>
            </w:pPr>
            <w:r>
              <w:rPr>
                <w:rFonts w:asciiTheme="minorHAnsi" w:hAnsiTheme="minorHAnsi" w:cstheme="minorHAnsi"/>
                <w:b/>
                <w:lang w:val="en-US"/>
              </w:rPr>
              <w:t>100</w:t>
            </w:r>
          </w:p>
        </w:tc>
        <w:tc>
          <w:tcPr>
            <w:tcW w:w="993" w:type="dxa"/>
            <w:vAlign w:val="center"/>
          </w:tcPr>
          <w:p>
            <w:pPr>
              <w:pStyle w:val="4"/>
              <w:spacing w:before="0" w:beforeAutospacing="0" w:after="0" w:afterAutospacing="0"/>
              <w:jc w:val="center"/>
              <w:rPr>
                <w:rFonts w:asciiTheme="minorHAnsi" w:hAnsiTheme="minorHAnsi" w:cstheme="minorHAnsi"/>
                <w:b/>
              </w:rPr>
            </w:pPr>
            <w:r>
              <w:rPr>
                <w:rFonts w:hint="default" w:asciiTheme="minorHAnsi" w:hAnsiTheme="minorHAnsi" w:cstheme="minorHAnsi"/>
                <w:b/>
              </w:rPr>
              <w:t>44</w:t>
            </w:r>
            <w:r>
              <w:rPr>
                <w:rFonts w:hint="default" w:asciiTheme="minorHAnsi" w:hAnsiTheme="minorHAnsi" w:cstheme="minorHAnsi"/>
                <w:b/>
                <w:lang w:val="en-US"/>
              </w:rPr>
              <w:t>,</w:t>
            </w:r>
            <w:r>
              <w:rPr>
                <w:rFonts w:hint="default" w:asciiTheme="minorHAnsi" w:hAnsiTheme="minorHAnsi" w:cstheme="minorHAnsi"/>
                <w:b/>
              </w:rPr>
              <w:t>025</w:t>
            </w:r>
          </w:p>
        </w:tc>
        <w:tc>
          <w:tcPr>
            <w:tcW w:w="960" w:type="dxa"/>
            <w:vAlign w:val="center"/>
          </w:tcPr>
          <w:p>
            <w:pPr>
              <w:pStyle w:val="4"/>
              <w:spacing w:before="0" w:beforeAutospacing="0" w:after="0" w:afterAutospacing="0"/>
              <w:jc w:val="center"/>
              <w:rPr>
                <w:rFonts w:asciiTheme="minorHAnsi" w:hAnsiTheme="minorHAnsi" w:cstheme="minorHAnsi"/>
                <w:b/>
                <w:lang w:val="en-US"/>
              </w:rPr>
            </w:pPr>
            <w:r>
              <w:rPr>
                <w:rFonts w:asciiTheme="minorHAnsi" w:hAnsiTheme="minorHAnsi" w:cstheme="minorHAnsi"/>
                <w:b/>
                <w:lang w:val="en-US"/>
              </w:rPr>
              <w:t>0.0151</w:t>
            </w:r>
          </w:p>
        </w:tc>
      </w:tr>
      <w:bookmarkEnd w:id="0"/>
    </w:tbl>
    <w:p>
      <w:pPr>
        <w:spacing w:line="240" w:lineRule="auto"/>
        <w:contextualSpacing/>
        <w:jc w:val="both"/>
        <w:rPr>
          <w:rFonts w:ascii="Arial" w:hAnsi="Arial" w:cs="Arial"/>
        </w:rPr>
      </w:pPr>
    </w:p>
    <w:p>
      <w:pPr>
        <w:spacing w:line="240" w:lineRule="auto"/>
        <w:contextualSpacing/>
        <w:jc w:val="both"/>
        <w:rPr>
          <w:rFonts w:ascii="Arial" w:hAnsi="Arial" w:cs="Arial"/>
        </w:rPr>
      </w:pPr>
    </w:p>
    <w:p>
      <w:pPr>
        <w:spacing w:line="240" w:lineRule="auto"/>
        <w:contextualSpacing/>
        <w:jc w:val="both"/>
        <w:rPr>
          <w:rFonts w:ascii="Arial" w:hAnsi="Arial" w:cs="Arial"/>
        </w:rPr>
      </w:pPr>
    </w:p>
    <w:p>
      <w:pPr>
        <w:spacing w:line="240" w:lineRule="auto"/>
        <w:contextualSpacing/>
        <w:jc w:val="both"/>
        <w:rPr>
          <w:rFonts w:ascii="Arial" w:hAnsi="Arial" w:cs="Arial"/>
        </w:rPr>
      </w:pPr>
    </w:p>
    <w:p>
      <w:pPr>
        <w:spacing w:line="240" w:lineRule="auto"/>
        <w:contextualSpacing/>
        <w:jc w:val="both"/>
        <w:rPr>
          <w:rFonts w:ascii="Arial" w:hAnsi="Arial" w:cs="Arial"/>
        </w:rPr>
      </w:pPr>
    </w:p>
    <w:sectPr>
      <w:footerReference r:id="rId3" w:type="default"/>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4535"/>
    </w:sdtPr>
    <w:sdtContent>
      <w:p>
        <w:pPr>
          <w:pStyle w:val="2"/>
          <w:jc w:val="right"/>
        </w:pPr>
        <w:r>
          <w:t xml:space="preserve">Page | </w:t>
        </w:r>
        <w:r>
          <w:fldChar w:fldCharType="begin"/>
        </w:r>
        <w:r>
          <w:instrText xml:space="preserve"> PAGE   \* MERGEFORMAT </w:instrText>
        </w:r>
        <w:r>
          <w:fldChar w:fldCharType="separate"/>
        </w:r>
        <w:r>
          <w:t>1</w:t>
        </w:r>
        <w:r>
          <w:fldChar w:fldCharType="end"/>
        </w:r>
        <w: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C7"/>
    <w:rsid w:val="000040C2"/>
    <w:rsid w:val="0002636B"/>
    <w:rsid w:val="0004555B"/>
    <w:rsid w:val="00082832"/>
    <w:rsid w:val="000D4D32"/>
    <w:rsid w:val="000E75A1"/>
    <w:rsid w:val="000F12A5"/>
    <w:rsid w:val="00165C3D"/>
    <w:rsid w:val="001700C7"/>
    <w:rsid w:val="001E4237"/>
    <w:rsid w:val="001F5AB4"/>
    <w:rsid w:val="002579A1"/>
    <w:rsid w:val="00294E4B"/>
    <w:rsid w:val="002B182F"/>
    <w:rsid w:val="002B7BA1"/>
    <w:rsid w:val="00303441"/>
    <w:rsid w:val="00337448"/>
    <w:rsid w:val="00367265"/>
    <w:rsid w:val="00460949"/>
    <w:rsid w:val="00482E1C"/>
    <w:rsid w:val="004952AD"/>
    <w:rsid w:val="004A3FBE"/>
    <w:rsid w:val="004E77DB"/>
    <w:rsid w:val="004F1139"/>
    <w:rsid w:val="005220AF"/>
    <w:rsid w:val="00527E2D"/>
    <w:rsid w:val="005408D6"/>
    <w:rsid w:val="005706A0"/>
    <w:rsid w:val="005A2694"/>
    <w:rsid w:val="00613A6D"/>
    <w:rsid w:val="00621856"/>
    <w:rsid w:val="00625686"/>
    <w:rsid w:val="00627F59"/>
    <w:rsid w:val="0063508E"/>
    <w:rsid w:val="00697BBE"/>
    <w:rsid w:val="006E6B60"/>
    <w:rsid w:val="00752BA2"/>
    <w:rsid w:val="00796E89"/>
    <w:rsid w:val="00854448"/>
    <w:rsid w:val="0089089F"/>
    <w:rsid w:val="00927132"/>
    <w:rsid w:val="00965982"/>
    <w:rsid w:val="00A11119"/>
    <w:rsid w:val="00A341E6"/>
    <w:rsid w:val="00A466B5"/>
    <w:rsid w:val="00AD1C70"/>
    <w:rsid w:val="00AD7B37"/>
    <w:rsid w:val="00B16E9C"/>
    <w:rsid w:val="00B41116"/>
    <w:rsid w:val="00B43E37"/>
    <w:rsid w:val="00B6026D"/>
    <w:rsid w:val="00B60E48"/>
    <w:rsid w:val="00B81B1C"/>
    <w:rsid w:val="00C127F8"/>
    <w:rsid w:val="00C35324"/>
    <w:rsid w:val="00C518C0"/>
    <w:rsid w:val="00CA150E"/>
    <w:rsid w:val="00CE7CE9"/>
    <w:rsid w:val="00D154C9"/>
    <w:rsid w:val="00D53238"/>
    <w:rsid w:val="00E15105"/>
    <w:rsid w:val="00E2710B"/>
    <w:rsid w:val="00E41514"/>
    <w:rsid w:val="00E75B82"/>
    <w:rsid w:val="00E7642D"/>
    <w:rsid w:val="00EF23B9"/>
    <w:rsid w:val="00EF4C6C"/>
    <w:rsid w:val="00F179E0"/>
    <w:rsid w:val="00F424DB"/>
    <w:rsid w:val="00F66DAE"/>
    <w:rsid w:val="00F91CE2"/>
    <w:rsid w:val="00FE1DDE"/>
    <w:rsid w:val="378019E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MY" w:eastAsia="en-MY"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header"/>
    <w:basedOn w:val="1"/>
    <w:link w:val="8"/>
    <w:unhideWhenUsed/>
    <w:qFormat/>
    <w:uiPriority w:val="99"/>
    <w:pPr>
      <w:tabs>
        <w:tab w:val="center" w:pos="4680"/>
        <w:tab w:val="right" w:pos="9360"/>
      </w:tabs>
      <w:spacing w:after="0" w:line="240" w:lineRule="auto"/>
    </w:p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Header Char"/>
    <w:basedOn w:val="5"/>
    <w:link w:val="3"/>
    <w:semiHidden/>
    <w:qFormat/>
    <w:uiPriority w:val="99"/>
  </w:style>
  <w:style w:type="character" w:customStyle="1" w:styleId="9">
    <w:name w:val="Footer Char"/>
    <w:basedOn w:val="5"/>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B52D8-43AA-4CC6-95B0-D70A63A2E95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176</Words>
  <Characters>1005</Characters>
  <Lines>8</Lines>
  <Paragraphs>2</Paragraphs>
  <TotalTime>0</TotalTime>
  <ScaleCrop>false</ScaleCrop>
  <LinksUpToDate>false</LinksUpToDate>
  <CharactersWithSpaces>1179</CharactersWithSpaces>
  <Application>WPS Office_10.1.0.5671_F1E327BC-269C-435d-A152-05C5408002CA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2017-05-22T08:19:00Z</dcterms:created>
  <dc:creator>m.amzar</dc:creator>
  <cp:lastModifiedBy>SSR</cp:lastModifiedBy>
  <cp:lastPrinted>2017-05-19T11:46:00Z</cp:lastPrinted>
  <dcterms:modified xsi:type="dcterms:W3CDTF">2017-05-10T03:35:53Z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1033-10.1.0.5671</vt:lpwstr>
  </property>
</Properties>
</file>