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E1" w:rsidRDefault="00A718EB" w:rsidP="00614954">
      <w:pPr>
        <w:spacing w:line="276" w:lineRule="auto"/>
        <w:jc w:val="both"/>
      </w:pPr>
      <w:bookmarkStart w:id="0" w:name="_GoBack"/>
      <w:bookmarkEnd w:id="0"/>
      <w:r>
        <w:t>Co-operation under Malaysian Association of Tax Accountants (MATA)</w:t>
      </w:r>
      <w:r w:rsidR="00D44201">
        <w:t xml:space="preserve"> </w:t>
      </w:r>
      <w:r w:rsidR="00536429">
        <w:t>has been appointed by</w:t>
      </w:r>
      <w:r w:rsidR="00D44201">
        <w:t xml:space="preserve"> the National Co-operative Organization of Malaysia (ANGKASA) to propose</w:t>
      </w:r>
      <w:r w:rsidR="00F020E1">
        <w:t xml:space="preserve"> for a discussion with the Royal Malaysian Customs in regards with input tax claim for an exempt supply</w:t>
      </w:r>
      <w:r w:rsidR="00D44201">
        <w:t xml:space="preserve"> organization. </w:t>
      </w:r>
    </w:p>
    <w:p w:rsidR="00305D7F" w:rsidRDefault="00305D7F" w:rsidP="00614954">
      <w:pPr>
        <w:spacing w:line="276" w:lineRule="auto"/>
        <w:jc w:val="both"/>
      </w:pPr>
      <w:r>
        <w:t>The National Co-operative Organization of Malaysia (ANGKASA) is recognized by the government as the body representing the Malaysian Co-operative movement in the national and international level. It strives to protect the interests of the co</w:t>
      </w:r>
      <w:r w:rsidR="00F020E1">
        <w:t>-</w:t>
      </w:r>
      <w:r>
        <w:t>operative movement in this country. However, it is not involved in regulatory and enforcement in relation to co</w:t>
      </w:r>
      <w:r w:rsidR="00292861">
        <w:t>-</w:t>
      </w:r>
      <w:r>
        <w:t>operative.</w:t>
      </w:r>
    </w:p>
    <w:p w:rsidR="00703615" w:rsidRDefault="00A51BF0" w:rsidP="00614954">
      <w:pPr>
        <w:spacing w:line="276" w:lineRule="auto"/>
        <w:jc w:val="both"/>
      </w:pPr>
      <w:r>
        <w:t>Meanwhile credit</w:t>
      </w:r>
      <w:r w:rsidR="00703615">
        <w:t xml:space="preserve"> </w:t>
      </w:r>
      <w:r>
        <w:t>co-operatives obtain</w:t>
      </w:r>
      <w:r w:rsidR="00703615">
        <w:t xml:space="preserve"> loan and salary deduction services from ANGKASA.</w:t>
      </w:r>
      <w:r w:rsidR="00292861">
        <w:t xml:space="preserve"> ANGKASA will </w:t>
      </w:r>
      <w:r>
        <w:t>charge GST at standard rate on the fees of the services rendered.</w:t>
      </w:r>
    </w:p>
    <w:p w:rsidR="00A51BF0" w:rsidRDefault="00A51BF0" w:rsidP="00614954">
      <w:pPr>
        <w:spacing w:line="276" w:lineRule="auto"/>
        <w:jc w:val="both"/>
      </w:pPr>
      <w:r>
        <w:t>However, inputs used for making supplies made in certain prescribed circumstances such as supplies</w:t>
      </w:r>
      <w:r w:rsidR="00696C41">
        <w:t xml:space="preserve"> made by </w:t>
      </w:r>
      <w:r>
        <w:t xml:space="preserve">banks and other financial institutions which provide loans or financing to businesses are allowed to use Fixed Input Tax Recovery (FITR) method to claim the GST incurred on their business input. </w:t>
      </w:r>
    </w:p>
    <w:p w:rsidR="00816286" w:rsidRDefault="00A51BF0" w:rsidP="00614954">
      <w:pPr>
        <w:spacing w:line="276" w:lineRule="auto"/>
        <w:jc w:val="both"/>
      </w:pPr>
      <w:r>
        <w:t>FITR is a method where a fin</w:t>
      </w:r>
      <w:r w:rsidR="00816286">
        <w:t xml:space="preserve">ancial institution such as </w:t>
      </w:r>
      <w:r>
        <w:t xml:space="preserve">commercial </w:t>
      </w:r>
      <w:r w:rsidR="00816286">
        <w:t xml:space="preserve">bank, </w:t>
      </w:r>
      <w:r>
        <w:t>investment bank</w:t>
      </w:r>
      <w:r w:rsidR="00816286">
        <w:t xml:space="preserve">, </w:t>
      </w:r>
      <w:r>
        <w:t>Islamic bank</w:t>
      </w:r>
      <w:r w:rsidR="00816286">
        <w:t xml:space="preserve">, </w:t>
      </w:r>
      <w:r>
        <w:t xml:space="preserve">development financial institutions and any other approved institution established under any Act of Parliament or State Ordinance is entitled to recover input tax based on a specific rate in percentage determined by the Minister. </w:t>
      </w:r>
    </w:p>
    <w:p w:rsidR="008D3C00" w:rsidRDefault="008D3C00" w:rsidP="00614954">
      <w:pPr>
        <w:spacing w:line="276" w:lineRule="auto"/>
        <w:jc w:val="both"/>
        <w:rPr>
          <w:lang w:val="en-SG"/>
        </w:rPr>
      </w:pPr>
    </w:p>
    <w:p w:rsidR="0099573B" w:rsidRDefault="0099573B" w:rsidP="00614954">
      <w:pPr>
        <w:spacing w:line="276" w:lineRule="auto"/>
        <w:jc w:val="both"/>
        <w:rPr>
          <w:lang w:val="en-SG"/>
        </w:rPr>
      </w:pPr>
      <w:r w:rsidRPr="0099573B">
        <w:rPr>
          <w:lang w:val="en-SG"/>
        </w:rPr>
        <w:t>Th</w:t>
      </w:r>
      <w:r>
        <w:rPr>
          <w:lang w:val="en-SG"/>
        </w:rPr>
        <w:t>is letter</w:t>
      </w:r>
      <w:r w:rsidRPr="0099573B">
        <w:rPr>
          <w:lang w:val="en-SG"/>
        </w:rPr>
        <w:t xml:space="preserve"> is intended to seek clarification of the Royal Malaysian Customs </w:t>
      </w:r>
      <w:r>
        <w:rPr>
          <w:lang w:val="en-SG"/>
        </w:rPr>
        <w:t>Department on GST treatment for:</w:t>
      </w:r>
    </w:p>
    <w:p w:rsidR="008D3C00" w:rsidRPr="0099573B" w:rsidRDefault="008D3C00" w:rsidP="00614954">
      <w:pPr>
        <w:spacing w:line="276" w:lineRule="auto"/>
        <w:jc w:val="both"/>
      </w:pPr>
    </w:p>
    <w:p w:rsidR="008D65AC" w:rsidRDefault="00816286" w:rsidP="005824AC">
      <w:pPr>
        <w:numPr>
          <w:ilvl w:val="0"/>
          <w:numId w:val="1"/>
        </w:numPr>
        <w:tabs>
          <w:tab w:val="clear" w:pos="720"/>
          <w:tab w:val="num" w:pos="709"/>
        </w:tabs>
        <w:spacing w:line="276" w:lineRule="auto"/>
        <w:jc w:val="both"/>
      </w:pPr>
      <w:r>
        <w:t>The entitlement to claim input tax of</w:t>
      </w:r>
      <w:r w:rsidR="00703615">
        <w:t xml:space="preserve"> c</w:t>
      </w:r>
      <w:r w:rsidR="00891197">
        <w:t xml:space="preserve">o-operatives </w:t>
      </w:r>
      <w:r w:rsidR="00703615">
        <w:t xml:space="preserve">under ANGKASA </w:t>
      </w:r>
      <w:r w:rsidR="00891197">
        <w:t>as supplies</w:t>
      </w:r>
      <w:r w:rsidR="00124611">
        <w:t xml:space="preserve"> made is</w:t>
      </w:r>
      <w:r w:rsidR="00891197">
        <w:t xml:space="preserve"> an exempt supply and input tax is not claimable. </w:t>
      </w:r>
      <w:r w:rsidR="008D65AC">
        <w:t>A</w:t>
      </w:r>
      <w:r w:rsidR="00292861">
        <w:t xml:space="preserve">part from this, there are other inputs incurred </w:t>
      </w:r>
      <w:r w:rsidR="008D65AC">
        <w:t>which are directly</w:t>
      </w:r>
      <w:r w:rsidR="00292861">
        <w:t xml:space="preserve"> attributable to taxable supplies.</w:t>
      </w:r>
    </w:p>
    <w:p w:rsidR="008D65AC" w:rsidRDefault="008D65AC" w:rsidP="00614954">
      <w:pPr>
        <w:spacing w:line="276" w:lineRule="auto"/>
        <w:ind w:left="720"/>
        <w:jc w:val="both"/>
      </w:pPr>
      <w:r>
        <w:t>Current situation is as follows:</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6"/>
        <w:gridCol w:w="2552"/>
        <w:gridCol w:w="2348"/>
      </w:tblGrid>
      <w:tr w:rsidR="008D65AC" w:rsidTr="00E70567">
        <w:tc>
          <w:tcPr>
            <w:tcW w:w="3376" w:type="dxa"/>
          </w:tcPr>
          <w:p w:rsidR="008D65AC" w:rsidRPr="00CF04A0" w:rsidRDefault="008D65AC" w:rsidP="00614954">
            <w:pPr>
              <w:spacing w:line="276" w:lineRule="auto"/>
              <w:jc w:val="center"/>
              <w:rPr>
                <w:b/>
              </w:rPr>
            </w:pPr>
            <w:r w:rsidRPr="00CF04A0">
              <w:rPr>
                <w:b/>
              </w:rPr>
              <w:t>Income</w:t>
            </w:r>
          </w:p>
        </w:tc>
        <w:tc>
          <w:tcPr>
            <w:tcW w:w="2552" w:type="dxa"/>
          </w:tcPr>
          <w:p w:rsidR="008D65AC" w:rsidRPr="00CF04A0" w:rsidRDefault="008D65AC" w:rsidP="00614954">
            <w:pPr>
              <w:spacing w:line="276" w:lineRule="auto"/>
              <w:jc w:val="center"/>
              <w:rPr>
                <w:b/>
              </w:rPr>
            </w:pPr>
            <w:r w:rsidRPr="00CF04A0">
              <w:rPr>
                <w:b/>
              </w:rPr>
              <w:t>GST Impact</w:t>
            </w:r>
          </w:p>
        </w:tc>
        <w:tc>
          <w:tcPr>
            <w:tcW w:w="2348" w:type="dxa"/>
          </w:tcPr>
          <w:p w:rsidR="008D65AC" w:rsidRPr="00CF04A0" w:rsidRDefault="008D65AC" w:rsidP="00614954">
            <w:pPr>
              <w:spacing w:line="276" w:lineRule="auto"/>
              <w:jc w:val="center"/>
              <w:rPr>
                <w:b/>
              </w:rPr>
            </w:pPr>
            <w:r>
              <w:rPr>
                <w:b/>
              </w:rPr>
              <w:t>Input tax</w:t>
            </w:r>
          </w:p>
        </w:tc>
      </w:tr>
      <w:tr w:rsidR="008D65AC" w:rsidTr="008D3C00">
        <w:trPr>
          <w:trHeight w:val="455"/>
        </w:trPr>
        <w:tc>
          <w:tcPr>
            <w:tcW w:w="3376" w:type="dxa"/>
          </w:tcPr>
          <w:p w:rsidR="008D65AC" w:rsidRDefault="008D65AC" w:rsidP="00614954">
            <w:pPr>
              <w:spacing w:line="276" w:lineRule="auto"/>
            </w:pPr>
            <w:r>
              <w:t>Salary deduction service</w:t>
            </w:r>
          </w:p>
        </w:tc>
        <w:tc>
          <w:tcPr>
            <w:tcW w:w="2552" w:type="dxa"/>
          </w:tcPr>
          <w:p w:rsidR="008D65AC" w:rsidRDefault="008D65AC" w:rsidP="00614954">
            <w:pPr>
              <w:spacing w:line="276" w:lineRule="auto"/>
              <w:jc w:val="center"/>
            </w:pPr>
            <w:r>
              <w:t>Exempt supply</w:t>
            </w:r>
          </w:p>
        </w:tc>
        <w:tc>
          <w:tcPr>
            <w:tcW w:w="2348" w:type="dxa"/>
          </w:tcPr>
          <w:p w:rsidR="008D65AC" w:rsidRDefault="008D65AC" w:rsidP="00614954">
            <w:pPr>
              <w:spacing w:line="276" w:lineRule="auto"/>
              <w:jc w:val="center"/>
            </w:pPr>
            <w:r>
              <w:t>Non- claimable</w:t>
            </w:r>
          </w:p>
        </w:tc>
      </w:tr>
      <w:tr w:rsidR="00D44201" w:rsidTr="008D3C00">
        <w:trPr>
          <w:trHeight w:val="403"/>
        </w:trPr>
        <w:tc>
          <w:tcPr>
            <w:tcW w:w="3376" w:type="dxa"/>
          </w:tcPr>
          <w:p w:rsidR="00D44201" w:rsidRDefault="00D44201" w:rsidP="00614954">
            <w:pPr>
              <w:spacing w:line="276" w:lineRule="auto"/>
            </w:pPr>
            <w:r>
              <w:t>Loan</w:t>
            </w:r>
          </w:p>
        </w:tc>
        <w:tc>
          <w:tcPr>
            <w:tcW w:w="2552" w:type="dxa"/>
          </w:tcPr>
          <w:p w:rsidR="00D44201" w:rsidRDefault="00D44201" w:rsidP="00614954">
            <w:pPr>
              <w:spacing w:line="276" w:lineRule="auto"/>
              <w:jc w:val="center"/>
            </w:pPr>
            <w:r>
              <w:t>Exempt supply</w:t>
            </w:r>
          </w:p>
        </w:tc>
        <w:tc>
          <w:tcPr>
            <w:tcW w:w="2348" w:type="dxa"/>
          </w:tcPr>
          <w:p w:rsidR="00D44201" w:rsidRDefault="00D44201" w:rsidP="00614954">
            <w:pPr>
              <w:spacing w:line="276" w:lineRule="auto"/>
              <w:jc w:val="center"/>
            </w:pPr>
            <w:r>
              <w:t>Non- claimable</w:t>
            </w:r>
          </w:p>
        </w:tc>
      </w:tr>
    </w:tbl>
    <w:p w:rsidR="008D65AC" w:rsidRDefault="008D65AC" w:rsidP="00614954">
      <w:pPr>
        <w:spacing w:line="276" w:lineRule="auto"/>
        <w:jc w:val="both"/>
      </w:pPr>
      <w:r>
        <w:t xml:space="preserve">    </w:t>
      </w:r>
    </w:p>
    <w:p w:rsidR="00D44201" w:rsidRDefault="008D65AC" w:rsidP="00614954">
      <w:pPr>
        <w:spacing w:line="276" w:lineRule="auto"/>
        <w:ind w:left="709" w:hanging="709"/>
        <w:jc w:val="both"/>
      </w:pPr>
      <w:r>
        <w:t xml:space="preserve">              </w:t>
      </w:r>
      <w:r w:rsidR="00891197">
        <w:t xml:space="preserve">However, banks and other financial institutions which provide loans or financing to businesses </w:t>
      </w:r>
      <w:r>
        <w:t xml:space="preserve">          </w:t>
      </w:r>
      <w:r w:rsidR="00891197">
        <w:t>are allowed to use Fixed Input Tax Recovery (FITR) method to claim the GST incurred on their business input. Therefore, can ANGKASA be likened to this situation as well, an</w:t>
      </w:r>
      <w:r w:rsidR="00124611">
        <w:t>d claim a</w:t>
      </w:r>
      <w:r w:rsidR="00703615">
        <w:t>t a</w:t>
      </w:r>
      <w:r w:rsidR="00124611">
        <w:t xml:space="preserve"> fix rate of input tax?</w:t>
      </w:r>
    </w:p>
    <w:p w:rsidR="00614954" w:rsidRDefault="00614954" w:rsidP="00614954">
      <w:pPr>
        <w:spacing w:line="276" w:lineRule="auto"/>
        <w:ind w:left="709" w:hanging="709"/>
        <w:jc w:val="both"/>
      </w:pPr>
    </w:p>
    <w:p w:rsidR="00D44201" w:rsidRDefault="00D44201" w:rsidP="00614954">
      <w:pPr>
        <w:spacing w:line="276" w:lineRule="auto"/>
        <w:ind w:left="709" w:hanging="709"/>
        <w:jc w:val="both"/>
      </w:pPr>
    </w:p>
    <w:p w:rsidR="008D3C00" w:rsidRDefault="008D3C00" w:rsidP="00614954">
      <w:pPr>
        <w:spacing w:line="276" w:lineRule="auto"/>
        <w:ind w:left="709" w:hanging="709"/>
        <w:jc w:val="both"/>
      </w:pPr>
    </w:p>
    <w:p w:rsidR="00891197" w:rsidRPr="00891197" w:rsidRDefault="00124611" w:rsidP="00614954">
      <w:pPr>
        <w:spacing w:line="276" w:lineRule="auto"/>
        <w:jc w:val="both"/>
      </w:pPr>
      <w:r>
        <w:lastRenderedPageBreak/>
        <w:t xml:space="preserve">    </w:t>
      </w:r>
      <w:r w:rsidR="00891197" w:rsidRPr="00891197">
        <w:rPr>
          <w:lang w:val="en-US"/>
        </w:rPr>
        <w:t>To address the issue raised earlier:-</w:t>
      </w:r>
    </w:p>
    <w:p w:rsidR="000A3A1D" w:rsidRPr="00891197" w:rsidRDefault="005824AC" w:rsidP="00614954">
      <w:pPr>
        <w:numPr>
          <w:ilvl w:val="0"/>
          <w:numId w:val="3"/>
        </w:numPr>
        <w:spacing w:line="276" w:lineRule="auto"/>
        <w:jc w:val="both"/>
      </w:pPr>
      <w:r w:rsidRPr="00124611">
        <w:rPr>
          <w:lang w:val="en-US"/>
        </w:rPr>
        <w:t xml:space="preserve">As stated in the Guide on </w:t>
      </w:r>
      <w:r w:rsidR="008D3C00">
        <w:rPr>
          <w:lang w:val="en-US"/>
        </w:rPr>
        <w:t>Co-operatives (D</w:t>
      </w:r>
      <w:r w:rsidR="00124611">
        <w:rPr>
          <w:lang w:val="en-US"/>
        </w:rPr>
        <w:t>ated 14 Nov 2014</w:t>
      </w:r>
      <w:r w:rsidRPr="00124611">
        <w:rPr>
          <w:lang w:val="en-US"/>
        </w:rPr>
        <w:t xml:space="preserve">), </w:t>
      </w:r>
      <w:r w:rsidR="00124611">
        <w:t>the fee of the service provided by ANGKASA which is managing the salary deduction service with the employer through the deduction from the member’s salary and forward the deduction to the co-operative is subject to GST at standard rate, since the fee charged is in return (consideration) for the services given by ANGKASA.</w:t>
      </w:r>
      <w:r w:rsidR="00124611" w:rsidRPr="00124611">
        <w:rPr>
          <w:lang w:val="en-SG"/>
        </w:rPr>
        <w:t xml:space="preserve"> </w:t>
      </w:r>
    </w:p>
    <w:p w:rsidR="000A3A1D" w:rsidRPr="00891197" w:rsidRDefault="005824AC" w:rsidP="00614954">
      <w:pPr>
        <w:numPr>
          <w:ilvl w:val="0"/>
          <w:numId w:val="3"/>
        </w:numPr>
        <w:spacing w:line="276" w:lineRule="auto"/>
        <w:jc w:val="both"/>
      </w:pPr>
      <w:r w:rsidRPr="00891197">
        <w:rPr>
          <w:lang w:val="en-US"/>
        </w:rPr>
        <w:t>Therefore, this paper has been prepared to illustrate and p</w:t>
      </w:r>
      <w:r w:rsidR="00124611">
        <w:rPr>
          <w:lang w:val="en-US"/>
        </w:rPr>
        <w:t>ropose the GST treatment on co-operatives input tax claimable status</w:t>
      </w:r>
      <w:r w:rsidRPr="00891197">
        <w:rPr>
          <w:lang w:val="en-US"/>
        </w:rPr>
        <w:t>, according the GST Act 2014 and available guides as published by the RMCD.</w:t>
      </w:r>
    </w:p>
    <w:p w:rsidR="00891197" w:rsidRDefault="00891197" w:rsidP="00614954">
      <w:pPr>
        <w:spacing w:line="276" w:lineRule="auto"/>
        <w:ind w:left="720"/>
        <w:jc w:val="both"/>
      </w:pPr>
    </w:p>
    <w:sectPr w:rsidR="00891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B2DD8"/>
    <w:multiLevelType w:val="hybridMultilevel"/>
    <w:tmpl w:val="F4668778"/>
    <w:lvl w:ilvl="0" w:tplc="A2040D98">
      <w:start w:val="1"/>
      <w:numFmt w:val="lowerRoman"/>
      <w:lvlText w:val="%1."/>
      <w:lvlJc w:val="right"/>
      <w:pPr>
        <w:tabs>
          <w:tab w:val="num" w:pos="720"/>
        </w:tabs>
        <w:ind w:left="720" w:hanging="360"/>
      </w:pPr>
    </w:lvl>
    <w:lvl w:ilvl="1" w:tplc="C4100DF4" w:tentative="1">
      <w:start w:val="1"/>
      <w:numFmt w:val="lowerRoman"/>
      <w:lvlText w:val="%2."/>
      <w:lvlJc w:val="right"/>
      <w:pPr>
        <w:tabs>
          <w:tab w:val="num" w:pos="1440"/>
        </w:tabs>
        <w:ind w:left="1440" w:hanging="360"/>
      </w:pPr>
    </w:lvl>
    <w:lvl w:ilvl="2" w:tplc="8E6E83CA" w:tentative="1">
      <w:start w:val="1"/>
      <w:numFmt w:val="lowerRoman"/>
      <w:lvlText w:val="%3."/>
      <w:lvlJc w:val="right"/>
      <w:pPr>
        <w:tabs>
          <w:tab w:val="num" w:pos="2160"/>
        </w:tabs>
        <w:ind w:left="2160" w:hanging="360"/>
      </w:pPr>
    </w:lvl>
    <w:lvl w:ilvl="3" w:tplc="6A8E3AF2" w:tentative="1">
      <w:start w:val="1"/>
      <w:numFmt w:val="lowerRoman"/>
      <w:lvlText w:val="%4."/>
      <w:lvlJc w:val="right"/>
      <w:pPr>
        <w:tabs>
          <w:tab w:val="num" w:pos="2880"/>
        </w:tabs>
        <w:ind w:left="2880" w:hanging="360"/>
      </w:pPr>
    </w:lvl>
    <w:lvl w:ilvl="4" w:tplc="BCB2790C" w:tentative="1">
      <w:start w:val="1"/>
      <w:numFmt w:val="lowerRoman"/>
      <w:lvlText w:val="%5."/>
      <w:lvlJc w:val="right"/>
      <w:pPr>
        <w:tabs>
          <w:tab w:val="num" w:pos="3600"/>
        </w:tabs>
        <w:ind w:left="3600" w:hanging="360"/>
      </w:pPr>
    </w:lvl>
    <w:lvl w:ilvl="5" w:tplc="1EF8864C" w:tentative="1">
      <w:start w:val="1"/>
      <w:numFmt w:val="lowerRoman"/>
      <w:lvlText w:val="%6."/>
      <w:lvlJc w:val="right"/>
      <w:pPr>
        <w:tabs>
          <w:tab w:val="num" w:pos="4320"/>
        </w:tabs>
        <w:ind w:left="4320" w:hanging="360"/>
      </w:pPr>
    </w:lvl>
    <w:lvl w:ilvl="6" w:tplc="860AB3D4" w:tentative="1">
      <w:start w:val="1"/>
      <w:numFmt w:val="lowerRoman"/>
      <w:lvlText w:val="%7."/>
      <w:lvlJc w:val="right"/>
      <w:pPr>
        <w:tabs>
          <w:tab w:val="num" w:pos="5040"/>
        </w:tabs>
        <w:ind w:left="5040" w:hanging="360"/>
      </w:pPr>
    </w:lvl>
    <w:lvl w:ilvl="7" w:tplc="7A966BFC" w:tentative="1">
      <w:start w:val="1"/>
      <w:numFmt w:val="lowerRoman"/>
      <w:lvlText w:val="%8."/>
      <w:lvlJc w:val="right"/>
      <w:pPr>
        <w:tabs>
          <w:tab w:val="num" w:pos="5760"/>
        </w:tabs>
        <w:ind w:left="5760" w:hanging="360"/>
      </w:pPr>
    </w:lvl>
    <w:lvl w:ilvl="8" w:tplc="1D407E12" w:tentative="1">
      <w:start w:val="1"/>
      <w:numFmt w:val="lowerRoman"/>
      <w:lvlText w:val="%9."/>
      <w:lvlJc w:val="right"/>
      <w:pPr>
        <w:tabs>
          <w:tab w:val="num" w:pos="6480"/>
        </w:tabs>
        <w:ind w:left="6480" w:hanging="360"/>
      </w:pPr>
    </w:lvl>
  </w:abstractNum>
  <w:abstractNum w:abstractNumId="1">
    <w:nsid w:val="63B26A26"/>
    <w:multiLevelType w:val="hybridMultilevel"/>
    <w:tmpl w:val="E822F42C"/>
    <w:lvl w:ilvl="0" w:tplc="DF428F8A">
      <w:start w:val="1"/>
      <w:numFmt w:val="bullet"/>
      <w:lvlText w:val="•"/>
      <w:lvlJc w:val="left"/>
      <w:pPr>
        <w:tabs>
          <w:tab w:val="num" w:pos="720"/>
        </w:tabs>
        <w:ind w:left="720" w:hanging="360"/>
      </w:pPr>
      <w:rPr>
        <w:rFonts w:ascii="Times New Roman" w:hAnsi="Times New Roman" w:hint="default"/>
      </w:rPr>
    </w:lvl>
    <w:lvl w:ilvl="1" w:tplc="48C04A60" w:tentative="1">
      <w:start w:val="1"/>
      <w:numFmt w:val="bullet"/>
      <w:lvlText w:val="•"/>
      <w:lvlJc w:val="left"/>
      <w:pPr>
        <w:tabs>
          <w:tab w:val="num" w:pos="1440"/>
        </w:tabs>
        <w:ind w:left="1440" w:hanging="360"/>
      </w:pPr>
      <w:rPr>
        <w:rFonts w:ascii="Times New Roman" w:hAnsi="Times New Roman" w:hint="default"/>
      </w:rPr>
    </w:lvl>
    <w:lvl w:ilvl="2" w:tplc="A3F6920A" w:tentative="1">
      <w:start w:val="1"/>
      <w:numFmt w:val="bullet"/>
      <w:lvlText w:val="•"/>
      <w:lvlJc w:val="left"/>
      <w:pPr>
        <w:tabs>
          <w:tab w:val="num" w:pos="2160"/>
        </w:tabs>
        <w:ind w:left="2160" w:hanging="360"/>
      </w:pPr>
      <w:rPr>
        <w:rFonts w:ascii="Times New Roman" w:hAnsi="Times New Roman" w:hint="default"/>
      </w:rPr>
    </w:lvl>
    <w:lvl w:ilvl="3" w:tplc="F4004ACA" w:tentative="1">
      <w:start w:val="1"/>
      <w:numFmt w:val="bullet"/>
      <w:lvlText w:val="•"/>
      <w:lvlJc w:val="left"/>
      <w:pPr>
        <w:tabs>
          <w:tab w:val="num" w:pos="2880"/>
        </w:tabs>
        <w:ind w:left="2880" w:hanging="360"/>
      </w:pPr>
      <w:rPr>
        <w:rFonts w:ascii="Times New Roman" w:hAnsi="Times New Roman" w:hint="default"/>
      </w:rPr>
    </w:lvl>
    <w:lvl w:ilvl="4" w:tplc="B72CB96C" w:tentative="1">
      <w:start w:val="1"/>
      <w:numFmt w:val="bullet"/>
      <w:lvlText w:val="•"/>
      <w:lvlJc w:val="left"/>
      <w:pPr>
        <w:tabs>
          <w:tab w:val="num" w:pos="3600"/>
        </w:tabs>
        <w:ind w:left="3600" w:hanging="360"/>
      </w:pPr>
      <w:rPr>
        <w:rFonts w:ascii="Times New Roman" w:hAnsi="Times New Roman" w:hint="default"/>
      </w:rPr>
    </w:lvl>
    <w:lvl w:ilvl="5" w:tplc="F348C5DA" w:tentative="1">
      <w:start w:val="1"/>
      <w:numFmt w:val="bullet"/>
      <w:lvlText w:val="•"/>
      <w:lvlJc w:val="left"/>
      <w:pPr>
        <w:tabs>
          <w:tab w:val="num" w:pos="4320"/>
        </w:tabs>
        <w:ind w:left="4320" w:hanging="360"/>
      </w:pPr>
      <w:rPr>
        <w:rFonts w:ascii="Times New Roman" w:hAnsi="Times New Roman" w:hint="default"/>
      </w:rPr>
    </w:lvl>
    <w:lvl w:ilvl="6" w:tplc="E9D674AC" w:tentative="1">
      <w:start w:val="1"/>
      <w:numFmt w:val="bullet"/>
      <w:lvlText w:val="•"/>
      <w:lvlJc w:val="left"/>
      <w:pPr>
        <w:tabs>
          <w:tab w:val="num" w:pos="5040"/>
        </w:tabs>
        <w:ind w:left="5040" w:hanging="360"/>
      </w:pPr>
      <w:rPr>
        <w:rFonts w:ascii="Times New Roman" w:hAnsi="Times New Roman" w:hint="default"/>
      </w:rPr>
    </w:lvl>
    <w:lvl w:ilvl="7" w:tplc="75328FD2" w:tentative="1">
      <w:start w:val="1"/>
      <w:numFmt w:val="bullet"/>
      <w:lvlText w:val="•"/>
      <w:lvlJc w:val="left"/>
      <w:pPr>
        <w:tabs>
          <w:tab w:val="num" w:pos="5760"/>
        </w:tabs>
        <w:ind w:left="5760" w:hanging="360"/>
      </w:pPr>
      <w:rPr>
        <w:rFonts w:ascii="Times New Roman" w:hAnsi="Times New Roman" w:hint="default"/>
      </w:rPr>
    </w:lvl>
    <w:lvl w:ilvl="8" w:tplc="18062566" w:tentative="1">
      <w:start w:val="1"/>
      <w:numFmt w:val="bullet"/>
      <w:lvlText w:val="•"/>
      <w:lvlJc w:val="left"/>
      <w:pPr>
        <w:tabs>
          <w:tab w:val="num" w:pos="6480"/>
        </w:tabs>
        <w:ind w:left="6480" w:hanging="360"/>
      </w:pPr>
      <w:rPr>
        <w:rFonts w:ascii="Times New Roman" w:hAnsi="Times New Roman" w:hint="default"/>
      </w:rPr>
    </w:lvl>
  </w:abstractNum>
  <w:abstractNum w:abstractNumId="2">
    <w:nsid w:val="79D6479F"/>
    <w:multiLevelType w:val="hybridMultilevel"/>
    <w:tmpl w:val="D7520AAC"/>
    <w:lvl w:ilvl="0" w:tplc="ABC892D8">
      <w:start w:val="1"/>
      <w:numFmt w:val="decimal"/>
      <w:lvlText w:val="%1."/>
      <w:lvlJc w:val="left"/>
      <w:pPr>
        <w:tabs>
          <w:tab w:val="num" w:pos="720"/>
        </w:tabs>
        <w:ind w:left="720" w:hanging="360"/>
      </w:pPr>
    </w:lvl>
    <w:lvl w:ilvl="1" w:tplc="DFF8EC84" w:tentative="1">
      <w:start w:val="1"/>
      <w:numFmt w:val="decimal"/>
      <w:lvlText w:val="%2."/>
      <w:lvlJc w:val="left"/>
      <w:pPr>
        <w:tabs>
          <w:tab w:val="num" w:pos="1440"/>
        </w:tabs>
        <w:ind w:left="1440" w:hanging="360"/>
      </w:pPr>
    </w:lvl>
    <w:lvl w:ilvl="2" w:tplc="043CCE36" w:tentative="1">
      <w:start w:val="1"/>
      <w:numFmt w:val="decimal"/>
      <w:lvlText w:val="%3."/>
      <w:lvlJc w:val="left"/>
      <w:pPr>
        <w:tabs>
          <w:tab w:val="num" w:pos="2160"/>
        </w:tabs>
        <w:ind w:left="2160" w:hanging="360"/>
      </w:pPr>
    </w:lvl>
    <w:lvl w:ilvl="3" w:tplc="6ABC1CBA" w:tentative="1">
      <w:start w:val="1"/>
      <w:numFmt w:val="decimal"/>
      <w:lvlText w:val="%4."/>
      <w:lvlJc w:val="left"/>
      <w:pPr>
        <w:tabs>
          <w:tab w:val="num" w:pos="2880"/>
        </w:tabs>
        <w:ind w:left="2880" w:hanging="360"/>
      </w:pPr>
    </w:lvl>
    <w:lvl w:ilvl="4" w:tplc="7C36B934" w:tentative="1">
      <w:start w:val="1"/>
      <w:numFmt w:val="decimal"/>
      <w:lvlText w:val="%5."/>
      <w:lvlJc w:val="left"/>
      <w:pPr>
        <w:tabs>
          <w:tab w:val="num" w:pos="3600"/>
        </w:tabs>
        <w:ind w:left="3600" w:hanging="360"/>
      </w:pPr>
    </w:lvl>
    <w:lvl w:ilvl="5" w:tplc="88FEE85C" w:tentative="1">
      <w:start w:val="1"/>
      <w:numFmt w:val="decimal"/>
      <w:lvlText w:val="%6."/>
      <w:lvlJc w:val="left"/>
      <w:pPr>
        <w:tabs>
          <w:tab w:val="num" w:pos="4320"/>
        </w:tabs>
        <w:ind w:left="4320" w:hanging="360"/>
      </w:pPr>
    </w:lvl>
    <w:lvl w:ilvl="6" w:tplc="C10C8C26" w:tentative="1">
      <w:start w:val="1"/>
      <w:numFmt w:val="decimal"/>
      <w:lvlText w:val="%7."/>
      <w:lvlJc w:val="left"/>
      <w:pPr>
        <w:tabs>
          <w:tab w:val="num" w:pos="5040"/>
        </w:tabs>
        <w:ind w:left="5040" w:hanging="360"/>
      </w:pPr>
    </w:lvl>
    <w:lvl w:ilvl="7" w:tplc="287A4412" w:tentative="1">
      <w:start w:val="1"/>
      <w:numFmt w:val="decimal"/>
      <w:lvlText w:val="%8."/>
      <w:lvlJc w:val="left"/>
      <w:pPr>
        <w:tabs>
          <w:tab w:val="num" w:pos="5760"/>
        </w:tabs>
        <w:ind w:left="5760" w:hanging="360"/>
      </w:pPr>
    </w:lvl>
    <w:lvl w:ilvl="8" w:tplc="CBB09FDE"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3B"/>
    <w:rsid w:val="000A3A1D"/>
    <w:rsid w:val="00124611"/>
    <w:rsid w:val="00230C10"/>
    <w:rsid w:val="002828E4"/>
    <w:rsid w:val="00292861"/>
    <w:rsid w:val="00305D7F"/>
    <w:rsid w:val="00536429"/>
    <w:rsid w:val="005824AC"/>
    <w:rsid w:val="00614954"/>
    <w:rsid w:val="00696C41"/>
    <w:rsid w:val="00703615"/>
    <w:rsid w:val="00796FC5"/>
    <w:rsid w:val="00816286"/>
    <w:rsid w:val="00891197"/>
    <w:rsid w:val="008D3C00"/>
    <w:rsid w:val="008D65AC"/>
    <w:rsid w:val="00911DFF"/>
    <w:rsid w:val="0099573B"/>
    <w:rsid w:val="00A51BF0"/>
    <w:rsid w:val="00A718EB"/>
    <w:rsid w:val="00AC2D41"/>
    <w:rsid w:val="00BC5C5E"/>
    <w:rsid w:val="00C33C7F"/>
    <w:rsid w:val="00CC4025"/>
    <w:rsid w:val="00CF04A0"/>
    <w:rsid w:val="00D44201"/>
    <w:rsid w:val="00D92D60"/>
    <w:rsid w:val="00E25DFC"/>
    <w:rsid w:val="00E61737"/>
    <w:rsid w:val="00F020E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18EB"/>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18EB"/>
    <w:rPr>
      <w:rFonts w:ascii="Times New Roman" w:eastAsia="Times New Roman" w:hAnsi="Times New Roman" w:cs="Times New Roman"/>
      <w:b/>
      <w:bCs/>
      <w:sz w:val="27"/>
      <w:szCs w:val="27"/>
      <w:lang w:eastAsia="en-MY"/>
    </w:rPr>
  </w:style>
  <w:style w:type="character" w:styleId="Hyperlink">
    <w:name w:val="Hyperlink"/>
    <w:basedOn w:val="DefaultParagraphFont"/>
    <w:uiPriority w:val="99"/>
    <w:semiHidden/>
    <w:unhideWhenUsed/>
    <w:rsid w:val="00A718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18EB"/>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18EB"/>
    <w:rPr>
      <w:rFonts w:ascii="Times New Roman" w:eastAsia="Times New Roman" w:hAnsi="Times New Roman" w:cs="Times New Roman"/>
      <w:b/>
      <w:bCs/>
      <w:sz w:val="27"/>
      <w:szCs w:val="27"/>
      <w:lang w:eastAsia="en-MY"/>
    </w:rPr>
  </w:style>
  <w:style w:type="character" w:styleId="Hyperlink">
    <w:name w:val="Hyperlink"/>
    <w:basedOn w:val="DefaultParagraphFont"/>
    <w:uiPriority w:val="99"/>
    <w:semiHidden/>
    <w:unhideWhenUsed/>
    <w:rsid w:val="00A71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7023">
      <w:bodyDiv w:val="1"/>
      <w:marLeft w:val="0"/>
      <w:marRight w:val="0"/>
      <w:marTop w:val="0"/>
      <w:marBottom w:val="0"/>
      <w:divBdr>
        <w:top w:val="none" w:sz="0" w:space="0" w:color="auto"/>
        <w:left w:val="none" w:sz="0" w:space="0" w:color="auto"/>
        <w:bottom w:val="none" w:sz="0" w:space="0" w:color="auto"/>
        <w:right w:val="none" w:sz="0" w:space="0" w:color="auto"/>
      </w:divBdr>
    </w:div>
    <w:div w:id="292097621">
      <w:bodyDiv w:val="1"/>
      <w:marLeft w:val="0"/>
      <w:marRight w:val="0"/>
      <w:marTop w:val="0"/>
      <w:marBottom w:val="0"/>
      <w:divBdr>
        <w:top w:val="none" w:sz="0" w:space="0" w:color="auto"/>
        <w:left w:val="none" w:sz="0" w:space="0" w:color="auto"/>
        <w:bottom w:val="none" w:sz="0" w:space="0" w:color="auto"/>
        <w:right w:val="none" w:sz="0" w:space="0" w:color="auto"/>
      </w:divBdr>
      <w:divsChild>
        <w:div w:id="1041176272">
          <w:marLeft w:val="634"/>
          <w:marRight w:val="0"/>
          <w:marTop w:val="0"/>
          <w:marBottom w:val="0"/>
          <w:divBdr>
            <w:top w:val="none" w:sz="0" w:space="0" w:color="auto"/>
            <w:left w:val="none" w:sz="0" w:space="0" w:color="auto"/>
            <w:bottom w:val="none" w:sz="0" w:space="0" w:color="auto"/>
            <w:right w:val="none" w:sz="0" w:space="0" w:color="auto"/>
          </w:divBdr>
        </w:div>
        <w:div w:id="900596889">
          <w:marLeft w:val="634"/>
          <w:marRight w:val="0"/>
          <w:marTop w:val="0"/>
          <w:marBottom w:val="0"/>
          <w:divBdr>
            <w:top w:val="none" w:sz="0" w:space="0" w:color="auto"/>
            <w:left w:val="none" w:sz="0" w:space="0" w:color="auto"/>
            <w:bottom w:val="none" w:sz="0" w:space="0" w:color="auto"/>
            <w:right w:val="none" w:sz="0" w:space="0" w:color="auto"/>
          </w:divBdr>
        </w:div>
        <w:div w:id="205260698">
          <w:marLeft w:val="634"/>
          <w:marRight w:val="0"/>
          <w:marTop w:val="0"/>
          <w:marBottom w:val="0"/>
          <w:divBdr>
            <w:top w:val="none" w:sz="0" w:space="0" w:color="auto"/>
            <w:left w:val="none" w:sz="0" w:space="0" w:color="auto"/>
            <w:bottom w:val="none" w:sz="0" w:space="0" w:color="auto"/>
            <w:right w:val="none" w:sz="0" w:space="0" w:color="auto"/>
          </w:divBdr>
        </w:div>
        <w:div w:id="774137330">
          <w:marLeft w:val="634"/>
          <w:marRight w:val="0"/>
          <w:marTop w:val="0"/>
          <w:marBottom w:val="0"/>
          <w:divBdr>
            <w:top w:val="none" w:sz="0" w:space="0" w:color="auto"/>
            <w:left w:val="none" w:sz="0" w:space="0" w:color="auto"/>
            <w:bottom w:val="none" w:sz="0" w:space="0" w:color="auto"/>
            <w:right w:val="none" w:sz="0" w:space="0" w:color="auto"/>
          </w:divBdr>
        </w:div>
      </w:divsChild>
    </w:div>
    <w:div w:id="676418616">
      <w:bodyDiv w:val="1"/>
      <w:marLeft w:val="0"/>
      <w:marRight w:val="0"/>
      <w:marTop w:val="0"/>
      <w:marBottom w:val="0"/>
      <w:divBdr>
        <w:top w:val="none" w:sz="0" w:space="0" w:color="auto"/>
        <w:left w:val="none" w:sz="0" w:space="0" w:color="auto"/>
        <w:bottom w:val="none" w:sz="0" w:space="0" w:color="auto"/>
        <w:right w:val="none" w:sz="0" w:space="0" w:color="auto"/>
      </w:divBdr>
    </w:div>
    <w:div w:id="700666779">
      <w:bodyDiv w:val="1"/>
      <w:marLeft w:val="0"/>
      <w:marRight w:val="0"/>
      <w:marTop w:val="0"/>
      <w:marBottom w:val="0"/>
      <w:divBdr>
        <w:top w:val="none" w:sz="0" w:space="0" w:color="auto"/>
        <w:left w:val="none" w:sz="0" w:space="0" w:color="auto"/>
        <w:bottom w:val="none" w:sz="0" w:space="0" w:color="auto"/>
        <w:right w:val="none" w:sz="0" w:space="0" w:color="auto"/>
      </w:divBdr>
    </w:div>
    <w:div w:id="733241761">
      <w:bodyDiv w:val="1"/>
      <w:marLeft w:val="0"/>
      <w:marRight w:val="0"/>
      <w:marTop w:val="0"/>
      <w:marBottom w:val="0"/>
      <w:divBdr>
        <w:top w:val="none" w:sz="0" w:space="0" w:color="auto"/>
        <w:left w:val="none" w:sz="0" w:space="0" w:color="auto"/>
        <w:bottom w:val="none" w:sz="0" w:space="0" w:color="auto"/>
        <w:right w:val="none" w:sz="0" w:space="0" w:color="auto"/>
      </w:divBdr>
      <w:divsChild>
        <w:div w:id="534848943">
          <w:marLeft w:val="547"/>
          <w:marRight w:val="0"/>
          <w:marTop w:val="0"/>
          <w:marBottom w:val="0"/>
          <w:divBdr>
            <w:top w:val="none" w:sz="0" w:space="0" w:color="auto"/>
            <w:left w:val="none" w:sz="0" w:space="0" w:color="auto"/>
            <w:bottom w:val="none" w:sz="0" w:space="0" w:color="auto"/>
            <w:right w:val="none" w:sz="0" w:space="0" w:color="auto"/>
          </w:divBdr>
        </w:div>
      </w:divsChild>
    </w:div>
    <w:div w:id="1793550153">
      <w:bodyDiv w:val="1"/>
      <w:marLeft w:val="0"/>
      <w:marRight w:val="0"/>
      <w:marTop w:val="0"/>
      <w:marBottom w:val="0"/>
      <w:divBdr>
        <w:top w:val="none" w:sz="0" w:space="0" w:color="auto"/>
        <w:left w:val="none" w:sz="0" w:space="0" w:color="auto"/>
        <w:bottom w:val="none" w:sz="0" w:space="0" w:color="auto"/>
        <w:right w:val="none" w:sz="0" w:space="0" w:color="auto"/>
      </w:divBdr>
      <w:divsChild>
        <w:div w:id="1957832636">
          <w:marLeft w:val="806"/>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GSTUser</dc:creator>
  <cp:keywords/>
  <dc:description/>
  <cp:lastModifiedBy>User</cp:lastModifiedBy>
  <cp:revision>11</cp:revision>
  <cp:lastPrinted>2015-04-06T02:33:00Z</cp:lastPrinted>
  <dcterms:created xsi:type="dcterms:W3CDTF">2015-05-18T05:42:00Z</dcterms:created>
  <dcterms:modified xsi:type="dcterms:W3CDTF">2015-05-21T01:42:00Z</dcterms:modified>
</cp:coreProperties>
</file>